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BB17" w14:textId="389D11A3" w:rsidR="009812F4" w:rsidRPr="009812F4" w:rsidRDefault="009812F4" w:rsidP="009812F4">
      <w:pPr>
        <w:jc w:val="right"/>
        <w:rPr>
          <w:rFonts w:ascii="Arial" w:hAnsi="Arial" w:cs="Arial"/>
          <w:sz w:val="20"/>
          <w:szCs w:val="20"/>
        </w:rPr>
      </w:pPr>
      <w:r w:rsidRPr="009812F4">
        <w:rPr>
          <w:rFonts w:ascii="Arial" w:hAnsi="Arial" w:cs="Arial"/>
          <w:sz w:val="20"/>
          <w:szCs w:val="20"/>
        </w:rPr>
        <w:t>Thursday 9</w:t>
      </w:r>
      <w:r w:rsidRPr="009812F4">
        <w:rPr>
          <w:rFonts w:ascii="Arial" w:hAnsi="Arial" w:cs="Arial"/>
          <w:sz w:val="20"/>
          <w:szCs w:val="20"/>
          <w:vertAlign w:val="superscript"/>
        </w:rPr>
        <w:t>th</w:t>
      </w:r>
      <w:r w:rsidRPr="009812F4">
        <w:rPr>
          <w:rFonts w:ascii="Arial" w:hAnsi="Arial" w:cs="Arial"/>
          <w:sz w:val="20"/>
          <w:szCs w:val="20"/>
        </w:rPr>
        <w:t xml:space="preserve"> October</w:t>
      </w:r>
    </w:p>
    <w:p w14:paraId="71C19808" w14:textId="5530001A" w:rsidR="009812F4" w:rsidRPr="009812F4" w:rsidRDefault="009812F4" w:rsidP="009812F4">
      <w:pPr>
        <w:rPr>
          <w:rFonts w:ascii="Arial" w:hAnsi="Arial" w:cs="Arial"/>
        </w:rPr>
      </w:pPr>
      <w:r w:rsidRPr="009812F4">
        <w:rPr>
          <w:rFonts w:ascii="Arial" w:hAnsi="Arial" w:cs="Arial"/>
          <w:highlight w:val="yellow"/>
        </w:rPr>
        <w:t>STRCTLY EMBARGOED UNTIL 00:01 THURSDAY 9</w:t>
      </w:r>
      <w:r w:rsidRPr="009812F4">
        <w:rPr>
          <w:rFonts w:ascii="Arial" w:hAnsi="Arial" w:cs="Arial"/>
          <w:highlight w:val="yellow"/>
          <w:vertAlign w:val="superscript"/>
        </w:rPr>
        <w:t>th</w:t>
      </w:r>
      <w:r w:rsidRPr="009812F4">
        <w:rPr>
          <w:rFonts w:ascii="Arial" w:hAnsi="Arial" w:cs="Arial"/>
          <w:highlight w:val="yellow"/>
        </w:rPr>
        <w:t xml:space="preserve"> OCTOBER 2025</w:t>
      </w:r>
    </w:p>
    <w:p w14:paraId="2503E954" w14:textId="72D7C5C8" w:rsidR="009812F4" w:rsidRDefault="00917544" w:rsidP="009812F4">
      <w:pPr>
        <w:rPr>
          <w:rFonts w:ascii="Arial" w:hAnsi="Arial" w:cs="Arial"/>
          <w:i/>
          <w:iCs/>
          <w:sz w:val="20"/>
          <w:szCs w:val="20"/>
        </w:rPr>
      </w:pPr>
      <w:r w:rsidRPr="009812F4">
        <w:rPr>
          <w:rFonts w:ascii="Arial" w:hAnsi="Arial" w:cs="Arial"/>
          <w:b/>
          <w:bCs/>
        </w:rPr>
        <w:t>T</w:t>
      </w:r>
      <w:r w:rsidR="009C7C61" w:rsidRPr="009812F4">
        <w:rPr>
          <w:rFonts w:ascii="Arial" w:hAnsi="Arial" w:cs="Arial"/>
          <w:b/>
          <w:bCs/>
        </w:rPr>
        <w:t>IPPING POINT:</w:t>
      </w:r>
      <w:r w:rsidRPr="009812F4">
        <w:rPr>
          <w:rFonts w:ascii="Arial" w:hAnsi="Arial" w:cs="Arial"/>
          <w:b/>
          <w:bCs/>
        </w:rPr>
        <w:t xml:space="preserve"> </w:t>
      </w:r>
      <w:r w:rsidR="00AC1BC6" w:rsidRPr="009812F4">
        <w:rPr>
          <w:rFonts w:ascii="Arial" w:hAnsi="Arial" w:cs="Arial"/>
          <w:b/>
          <w:bCs/>
        </w:rPr>
        <w:t xml:space="preserve">THREATS </w:t>
      </w:r>
      <w:r w:rsidR="002C35BD" w:rsidRPr="009812F4">
        <w:rPr>
          <w:rFonts w:ascii="Arial" w:hAnsi="Arial" w:cs="Arial"/>
          <w:b/>
          <w:bCs/>
        </w:rPr>
        <w:t>TO JOBS AND GROWTH IN EUROPE’S CHEM</w:t>
      </w:r>
      <w:r w:rsidR="003C099F" w:rsidRPr="009812F4">
        <w:rPr>
          <w:rFonts w:ascii="Arial" w:hAnsi="Arial" w:cs="Arial"/>
          <w:b/>
          <w:bCs/>
        </w:rPr>
        <w:t>IC</w:t>
      </w:r>
      <w:r w:rsidR="002C35BD" w:rsidRPr="009812F4">
        <w:rPr>
          <w:rFonts w:ascii="Arial" w:hAnsi="Arial" w:cs="Arial"/>
          <w:b/>
          <w:bCs/>
        </w:rPr>
        <w:t>AL SECTOR</w:t>
      </w:r>
      <w:r w:rsidR="009812F4">
        <w:rPr>
          <w:rFonts w:ascii="Arial" w:hAnsi="Arial" w:cs="Arial"/>
          <w:b/>
          <w:bCs/>
        </w:rPr>
        <w:t>. A REPORT BY OXFORD ECONOMICS</w:t>
      </w:r>
      <w:r w:rsidR="0013676C" w:rsidRPr="009812F4">
        <w:rPr>
          <w:rFonts w:ascii="Arial" w:hAnsi="Arial" w:cs="Arial"/>
          <w:i/>
          <w:iCs/>
          <w:sz w:val="20"/>
          <w:szCs w:val="20"/>
        </w:rPr>
        <w:t xml:space="preserve"> </w:t>
      </w:r>
    </w:p>
    <w:p w14:paraId="584709C2" w14:textId="5AEBD980" w:rsidR="009544F7" w:rsidRPr="009812F4" w:rsidRDefault="0013676C" w:rsidP="009812F4">
      <w:pPr>
        <w:rPr>
          <w:rFonts w:ascii="Arial" w:hAnsi="Arial" w:cs="Arial"/>
          <w:sz w:val="20"/>
          <w:szCs w:val="20"/>
        </w:rPr>
      </w:pPr>
      <w:r w:rsidRPr="009812F4">
        <w:rPr>
          <w:rFonts w:ascii="Arial" w:hAnsi="Arial" w:cs="Arial"/>
          <w:i/>
          <w:iCs/>
          <w:sz w:val="20"/>
          <w:szCs w:val="20"/>
        </w:rPr>
        <w:t>K</w:t>
      </w:r>
      <w:r w:rsidR="005C0A20" w:rsidRPr="009812F4">
        <w:rPr>
          <w:rFonts w:ascii="Arial" w:hAnsi="Arial" w:cs="Arial"/>
          <w:i/>
          <w:iCs/>
          <w:sz w:val="20"/>
          <w:szCs w:val="20"/>
        </w:rPr>
        <w:t>ey</w:t>
      </w:r>
      <w:r w:rsidR="000D2672" w:rsidRPr="009812F4">
        <w:rPr>
          <w:rFonts w:ascii="Arial" w:hAnsi="Arial" w:cs="Arial"/>
          <w:i/>
          <w:iCs/>
          <w:sz w:val="20"/>
          <w:szCs w:val="20"/>
        </w:rPr>
        <w:t xml:space="preserve"> insights and data points</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7"/>
        <w:gridCol w:w="7326"/>
      </w:tblGrid>
      <w:tr w:rsidR="009812F4" w:rsidRPr="009812F4" w14:paraId="4112B93E" w14:textId="77777777" w:rsidTr="009812F4">
        <w:tc>
          <w:tcPr>
            <w:tcW w:w="2557" w:type="dxa"/>
          </w:tcPr>
          <w:p w14:paraId="6AF1C7B0" w14:textId="0588FC66" w:rsidR="009812F4" w:rsidRPr="009812F4" w:rsidRDefault="009812F4" w:rsidP="009812F4">
            <w:pPr>
              <w:rPr>
                <w:rFonts w:ascii="Arial" w:hAnsi="Arial" w:cs="Arial"/>
                <w:b/>
                <w:bCs/>
                <w:sz w:val="20"/>
                <w:szCs w:val="20"/>
              </w:rPr>
            </w:pPr>
            <w:r w:rsidRPr="009812F4">
              <w:rPr>
                <w:rFonts w:ascii="Arial" w:hAnsi="Arial" w:cs="Arial"/>
                <w:b/>
                <w:bCs/>
                <w:sz w:val="20"/>
                <w:szCs w:val="20"/>
              </w:rPr>
              <w:drawing>
                <wp:anchor distT="0" distB="0" distL="114300" distR="114300" simplePos="0" relativeHeight="251659264" behindDoc="0" locked="0" layoutInCell="1" allowOverlap="1" wp14:anchorId="734778DE" wp14:editId="5833DF52">
                  <wp:simplePos x="0" y="0"/>
                  <wp:positionH relativeFrom="column">
                    <wp:posOffset>-3810</wp:posOffset>
                  </wp:positionH>
                  <wp:positionV relativeFrom="paragraph">
                    <wp:posOffset>198120</wp:posOffset>
                  </wp:positionV>
                  <wp:extent cx="1294613" cy="361880"/>
                  <wp:effectExtent l="0" t="0" r="1270" b="635"/>
                  <wp:wrapNone/>
                  <wp:docPr id="1311304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04313" name=""/>
                          <pic:cNvPicPr/>
                        </pic:nvPicPr>
                        <pic:blipFill>
                          <a:blip r:embed="rId11">
                            <a:extLst>
                              <a:ext uri="{28A0092B-C50C-407E-A947-70E740481C1C}">
                                <a14:useLocalDpi xmlns:a14="http://schemas.microsoft.com/office/drawing/2010/main" val="0"/>
                              </a:ext>
                            </a:extLst>
                          </a:blip>
                          <a:stretch>
                            <a:fillRect/>
                          </a:stretch>
                        </pic:blipFill>
                        <pic:spPr>
                          <a:xfrm>
                            <a:off x="0" y="0"/>
                            <a:ext cx="1327337" cy="371027"/>
                          </a:xfrm>
                          <a:prstGeom prst="rect">
                            <a:avLst/>
                          </a:prstGeom>
                        </pic:spPr>
                      </pic:pic>
                    </a:graphicData>
                  </a:graphic>
                  <wp14:sizeRelH relativeFrom="margin">
                    <wp14:pctWidth>0</wp14:pctWidth>
                  </wp14:sizeRelH>
                  <wp14:sizeRelV relativeFrom="margin">
                    <wp14:pctHeight>0</wp14:pctHeight>
                  </wp14:sizeRelV>
                </wp:anchor>
              </w:drawing>
            </w:r>
          </w:p>
        </w:tc>
        <w:tc>
          <w:tcPr>
            <w:tcW w:w="7326" w:type="dxa"/>
          </w:tcPr>
          <w:p w14:paraId="501C4449" w14:textId="77777777" w:rsidR="009812F4" w:rsidRPr="009812F4" w:rsidRDefault="009812F4" w:rsidP="009812F4">
            <w:pPr>
              <w:rPr>
                <w:rFonts w:ascii="Arial" w:hAnsi="Arial" w:cs="Arial"/>
                <w:sz w:val="20"/>
                <w:szCs w:val="20"/>
              </w:rPr>
            </w:pPr>
            <w:r w:rsidRPr="009812F4">
              <w:rPr>
                <w:rFonts w:ascii="Arial" w:eastAsia="Times New Roman" w:hAnsi="Arial" w:cs="Arial"/>
                <w:b/>
                <w:bCs/>
                <w:color w:val="000000"/>
                <w:kern w:val="0"/>
                <w:sz w:val="20"/>
                <w:szCs w:val="20"/>
                <w:lang w:eastAsia="en-GB"/>
                <w14:ligatures w14:val="none"/>
              </w:rPr>
              <w:t>Jeremy Leonard, Managing Director of Global Industry Services at Oxford Economics</w:t>
            </w:r>
            <w:r w:rsidRPr="009812F4">
              <w:rPr>
                <w:rFonts w:ascii="Arial" w:eastAsia="Times New Roman" w:hAnsi="Arial" w:cs="Arial"/>
                <w:color w:val="000000"/>
                <w:kern w:val="0"/>
                <w:sz w:val="20"/>
                <w:szCs w:val="20"/>
                <w:lang w:eastAsia="en-GB"/>
                <w14:ligatures w14:val="none"/>
              </w:rPr>
              <w:t xml:space="preserve">, says: </w:t>
            </w:r>
            <w:r w:rsidRPr="009812F4">
              <w:rPr>
                <w:rFonts w:ascii="Arial" w:eastAsia="Times New Roman" w:hAnsi="Arial" w:cs="Arial"/>
                <w:i/>
                <w:iCs/>
                <w:color w:val="000000"/>
                <w:kern w:val="0"/>
                <w:sz w:val="20"/>
                <w:szCs w:val="20"/>
                <w:lang w:eastAsia="en-GB"/>
                <w14:ligatures w14:val="none"/>
              </w:rPr>
              <w:t>“This report lays bare the pressures confronting the European chemicals industry. High energy costs and regulatory compliance burdens combined with US tariffs and global overcapacity driven by China are significantly undermining European chemical producers’ competitiveness”</w:t>
            </w:r>
          </w:p>
          <w:p w14:paraId="5886A91E" w14:textId="09574585" w:rsidR="009812F4" w:rsidRPr="009812F4" w:rsidRDefault="009812F4" w:rsidP="009812F4">
            <w:pPr>
              <w:jc w:val="center"/>
              <w:rPr>
                <w:rFonts w:ascii="Arial" w:hAnsi="Arial" w:cs="Arial"/>
                <w:b/>
                <w:bCs/>
                <w:sz w:val="20"/>
                <w:szCs w:val="20"/>
              </w:rPr>
            </w:pPr>
          </w:p>
        </w:tc>
      </w:tr>
    </w:tbl>
    <w:p w14:paraId="1C08564D" w14:textId="5B813B9E" w:rsidR="00D43B8C" w:rsidRPr="009812F4" w:rsidRDefault="00DA17D4" w:rsidP="00D43B8C">
      <w:pPr>
        <w:rPr>
          <w:rFonts w:ascii="Arial" w:hAnsi="Arial" w:cs="Arial"/>
          <w:b/>
          <w:bCs/>
          <w:sz w:val="20"/>
          <w:szCs w:val="20"/>
          <w:u w:val="single"/>
        </w:rPr>
      </w:pPr>
      <w:r w:rsidRPr="009812F4">
        <w:rPr>
          <w:rFonts w:ascii="Arial" w:hAnsi="Arial" w:cs="Arial"/>
          <w:b/>
          <w:bCs/>
          <w:sz w:val="20"/>
          <w:szCs w:val="20"/>
          <w:u w:val="single"/>
        </w:rPr>
        <w:t xml:space="preserve">The </w:t>
      </w:r>
      <w:r w:rsidR="00D43B8C" w:rsidRPr="009812F4">
        <w:rPr>
          <w:rFonts w:ascii="Arial" w:hAnsi="Arial" w:cs="Arial"/>
          <w:b/>
          <w:bCs/>
          <w:sz w:val="20"/>
          <w:szCs w:val="20"/>
          <w:u w:val="single"/>
        </w:rPr>
        <w:t xml:space="preserve">European </w:t>
      </w:r>
      <w:r w:rsidRPr="009812F4">
        <w:rPr>
          <w:rFonts w:ascii="Arial" w:hAnsi="Arial" w:cs="Arial"/>
          <w:b/>
          <w:bCs/>
          <w:sz w:val="20"/>
          <w:szCs w:val="20"/>
          <w:u w:val="single"/>
        </w:rPr>
        <w:t>chemical industry is in rapid decline</w:t>
      </w:r>
      <w:r w:rsidR="00EB179F" w:rsidRPr="009812F4">
        <w:rPr>
          <w:rFonts w:ascii="Arial" w:hAnsi="Arial" w:cs="Arial"/>
          <w:b/>
          <w:bCs/>
          <w:sz w:val="20"/>
          <w:szCs w:val="20"/>
          <w:u w:val="single"/>
        </w:rPr>
        <w:t xml:space="preserve"> </w:t>
      </w:r>
      <w:r w:rsidRPr="009812F4">
        <w:rPr>
          <w:rFonts w:ascii="Arial" w:hAnsi="Arial" w:cs="Arial"/>
          <w:b/>
          <w:bCs/>
          <w:sz w:val="20"/>
          <w:szCs w:val="20"/>
          <w:u w:val="single"/>
        </w:rPr>
        <w:t xml:space="preserve">and </w:t>
      </w:r>
      <w:r w:rsidR="00DB0D5E" w:rsidRPr="009812F4">
        <w:rPr>
          <w:rFonts w:ascii="Arial" w:hAnsi="Arial" w:cs="Arial"/>
          <w:b/>
          <w:bCs/>
          <w:sz w:val="20"/>
          <w:szCs w:val="20"/>
          <w:u w:val="single"/>
        </w:rPr>
        <w:t>has reached a</w:t>
      </w:r>
      <w:r w:rsidRPr="009812F4">
        <w:rPr>
          <w:rFonts w:ascii="Arial" w:hAnsi="Arial" w:cs="Arial"/>
          <w:b/>
          <w:bCs/>
          <w:sz w:val="20"/>
          <w:szCs w:val="20"/>
          <w:u w:val="single"/>
        </w:rPr>
        <w:t xml:space="preserve"> tipping point</w:t>
      </w:r>
      <w:r w:rsidR="00DB0D5E" w:rsidRPr="009812F4">
        <w:rPr>
          <w:rFonts w:ascii="Arial" w:hAnsi="Arial" w:cs="Arial"/>
          <w:b/>
          <w:bCs/>
          <w:sz w:val="20"/>
          <w:szCs w:val="20"/>
          <w:u w:val="single"/>
        </w:rPr>
        <w:t xml:space="preserve"> </w:t>
      </w:r>
    </w:p>
    <w:p w14:paraId="3AD283F4" w14:textId="457B2D1D" w:rsidR="00DA17D4" w:rsidRPr="009812F4" w:rsidRDefault="00D43B8C" w:rsidP="00D43B8C">
      <w:pPr>
        <w:pStyle w:val="ListParagraph"/>
        <w:numPr>
          <w:ilvl w:val="0"/>
          <w:numId w:val="1"/>
        </w:numPr>
        <w:spacing w:line="240" w:lineRule="auto"/>
        <w:rPr>
          <w:rFonts w:ascii="Arial" w:hAnsi="Arial" w:cs="Arial"/>
          <w:b/>
          <w:bCs/>
          <w:sz w:val="20"/>
          <w:szCs w:val="20"/>
          <w:u w:val="single"/>
        </w:rPr>
      </w:pPr>
      <w:r w:rsidRPr="009812F4">
        <w:rPr>
          <w:rFonts w:ascii="Arial" w:hAnsi="Arial" w:cs="Arial"/>
          <w:b/>
          <w:bCs/>
          <w:sz w:val="20"/>
          <w:szCs w:val="20"/>
        </w:rPr>
        <w:t>P</w:t>
      </w:r>
      <w:r w:rsidR="00303A1E" w:rsidRPr="009812F4">
        <w:rPr>
          <w:rFonts w:ascii="Arial" w:hAnsi="Arial" w:cs="Arial"/>
          <w:b/>
          <w:bCs/>
          <w:sz w:val="20"/>
          <w:szCs w:val="20"/>
        </w:rPr>
        <w:t>roduction has</w:t>
      </w:r>
      <w:r w:rsidR="00DA17D4" w:rsidRPr="009812F4">
        <w:rPr>
          <w:rFonts w:ascii="Arial" w:hAnsi="Arial" w:cs="Arial"/>
          <w:b/>
          <w:bCs/>
          <w:sz w:val="20"/>
          <w:szCs w:val="20"/>
        </w:rPr>
        <w:t xml:space="preserve"> decline</w:t>
      </w:r>
      <w:r w:rsidR="00303A1E" w:rsidRPr="009812F4">
        <w:rPr>
          <w:rFonts w:ascii="Arial" w:hAnsi="Arial" w:cs="Arial"/>
          <w:b/>
          <w:bCs/>
          <w:sz w:val="20"/>
          <w:szCs w:val="20"/>
        </w:rPr>
        <w:t xml:space="preserve">d </w:t>
      </w:r>
      <w:r w:rsidR="00DA17D4" w:rsidRPr="009812F4">
        <w:rPr>
          <w:rFonts w:ascii="Arial" w:hAnsi="Arial" w:cs="Arial"/>
          <w:b/>
          <w:bCs/>
          <w:sz w:val="20"/>
          <w:szCs w:val="20"/>
        </w:rPr>
        <w:t xml:space="preserve">to </w:t>
      </w:r>
      <w:r w:rsidR="00A027FB" w:rsidRPr="009812F4">
        <w:rPr>
          <w:rFonts w:ascii="Arial" w:hAnsi="Arial" w:cs="Arial"/>
          <w:b/>
          <w:bCs/>
          <w:sz w:val="20"/>
          <w:szCs w:val="20"/>
        </w:rPr>
        <w:t>its</w:t>
      </w:r>
      <w:r w:rsidR="00DA17D4" w:rsidRPr="009812F4">
        <w:rPr>
          <w:rFonts w:ascii="Arial" w:hAnsi="Arial" w:cs="Arial"/>
          <w:b/>
          <w:bCs/>
          <w:sz w:val="20"/>
          <w:szCs w:val="20"/>
        </w:rPr>
        <w:t xml:space="preserve"> lowest </w:t>
      </w:r>
      <w:r w:rsidR="00A027FB" w:rsidRPr="009812F4">
        <w:rPr>
          <w:rFonts w:ascii="Arial" w:hAnsi="Arial" w:cs="Arial"/>
          <w:b/>
          <w:bCs/>
          <w:sz w:val="20"/>
          <w:szCs w:val="20"/>
        </w:rPr>
        <w:t>level in</w:t>
      </w:r>
      <w:r w:rsidR="00DA17D4" w:rsidRPr="009812F4">
        <w:rPr>
          <w:rFonts w:ascii="Arial" w:hAnsi="Arial" w:cs="Arial"/>
          <w:b/>
          <w:bCs/>
          <w:sz w:val="20"/>
          <w:szCs w:val="20"/>
        </w:rPr>
        <w:t xml:space="preserve"> a decade.</w:t>
      </w:r>
      <w:r w:rsidR="00DA17D4" w:rsidRPr="009812F4">
        <w:rPr>
          <w:rFonts w:ascii="Arial" w:hAnsi="Arial" w:cs="Arial"/>
          <w:sz w:val="20"/>
          <w:szCs w:val="20"/>
        </w:rPr>
        <w:t xml:space="preserve"> In 2025Q2, output in the UK &amp; Germany </w:t>
      </w:r>
      <w:r w:rsidR="0057633C" w:rsidRPr="009812F4">
        <w:rPr>
          <w:rFonts w:ascii="Arial" w:hAnsi="Arial" w:cs="Arial"/>
          <w:sz w:val="20"/>
          <w:szCs w:val="20"/>
        </w:rPr>
        <w:t>was</w:t>
      </w:r>
      <w:r w:rsidR="00DA17D4" w:rsidRPr="009812F4">
        <w:rPr>
          <w:rFonts w:ascii="Arial" w:hAnsi="Arial" w:cs="Arial"/>
          <w:sz w:val="20"/>
          <w:szCs w:val="20"/>
        </w:rPr>
        <w:t xml:space="preserve"> 30% and 18% below its level in 2019 (</w:t>
      </w:r>
      <w:r w:rsidR="00994069" w:rsidRPr="009812F4">
        <w:rPr>
          <w:rFonts w:ascii="Arial" w:hAnsi="Arial" w:cs="Arial"/>
          <w:sz w:val="20"/>
          <w:szCs w:val="20"/>
        </w:rPr>
        <w:t>pre-</w:t>
      </w:r>
      <w:r w:rsidR="00DA17D4" w:rsidRPr="009812F4">
        <w:rPr>
          <w:rFonts w:ascii="Arial" w:hAnsi="Arial" w:cs="Arial"/>
          <w:sz w:val="20"/>
          <w:szCs w:val="20"/>
        </w:rPr>
        <w:t xml:space="preserve">pandemic). Production stands 12% and </w:t>
      </w:r>
      <w:r w:rsidR="00352680" w:rsidRPr="009812F4">
        <w:rPr>
          <w:rFonts w:ascii="Arial" w:hAnsi="Arial" w:cs="Arial"/>
          <w:sz w:val="20"/>
          <w:szCs w:val="20"/>
        </w:rPr>
        <w:t>7</w:t>
      </w:r>
      <w:r w:rsidR="00DA17D4" w:rsidRPr="009812F4">
        <w:rPr>
          <w:rFonts w:ascii="Arial" w:hAnsi="Arial" w:cs="Arial"/>
          <w:sz w:val="20"/>
          <w:szCs w:val="20"/>
        </w:rPr>
        <w:t>% below 2019 levels in France and Belgium</w:t>
      </w:r>
      <w:r w:rsidRPr="009812F4">
        <w:rPr>
          <w:rFonts w:ascii="Arial" w:hAnsi="Arial" w:cs="Arial"/>
          <w:sz w:val="20"/>
          <w:szCs w:val="20"/>
        </w:rPr>
        <w:t>.</w:t>
      </w:r>
    </w:p>
    <w:p w14:paraId="1E4178BC" w14:textId="6508944E" w:rsidR="00DA17D4" w:rsidRPr="009812F4" w:rsidRDefault="000E0723" w:rsidP="00D43B8C">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In</w:t>
      </w:r>
      <w:r w:rsidR="00DA17D4" w:rsidRPr="009812F4">
        <w:rPr>
          <w:rFonts w:ascii="Arial" w:hAnsi="Arial" w:cs="Arial"/>
          <w:sz w:val="20"/>
          <w:szCs w:val="20"/>
        </w:rPr>
        <w:t xml:space="preserve"> 2025Q3</w:t>
      </w:r>
      <w:r w:rsidRPr="009812F4">
        <w:rPr>
          <w:rFonts w:ascii="Arial" w:hAnsi="Arial" w:cs="Arial"/>
          <w:sz w:val="20"/>
          <w:szCs w:val="20"/>
        </w:rPr>
        <w:t>,</w:t>
      </w:r>
      <w:r w:rsidR="00DA17D4" w:rsidRPr="009812F4">
        <w:rPr>
          <w:rFonts w:ascii="Arial" w:hAnsi="Arial" w:cs="Arial"/>
          <w:sz w:val="20"/>
          <w:szCs w:val="20"/>
        </w:rPr>
        <w:t xml:space="preserve"> chemical firms </w:t>
      </w:r>
      <w:r w:rsidR="00881430" w:rsidRPr="009812F4">
        <w:rPr>
          <w:rFonts w:ascii="Arial" w:hAnsi="Arial" w:cs="Arial"/>
          <w:sz w:val="20"/>
          <w:szCs w:val="20"/>
        </w:rPr>
        <w:t>in Belgium</w:t>
      </w:r>
      <w:r w:rsidR="007D4497" w:rsidRPr="009812F4">
        <w:rPr>
          <w:rFonts w:ascii="Arial" w:hAnsi="Arial" w:cs="Arial"/>
          <w:sz w:val="20"/>
          <w:szCs w:val="20"/>
        </w:rPr>
        <w:t xml:space="preserve">, Germany, </w:t>
      </w:r>
      <w:r w:rsidR="00471865" w:rsidRPr="009812F4">
        <w:rPr>
          <w:rFonts w:ascii="Arial" w:hAnsi="Arial" w:cs="Arial"/>
          <w:sz w:val="20"/>
          <w:szCs w:val="20"/>
        </w:rPr>
        <w:t xml:space="preserve">and France </w:t>
      </w:r>
      <w:r w:rsidR="00DA17D4" w:rsidRPr="009812F4">
        <w:rPr>
          <w:rFonts w:ascii="Arial" w:hAnsi="Arial" w:cs="Arial"/>
          <w:sz w:val="20"/>
          <w:szCs w:val="20"/>
        </w:rPr>
        <w:t xml:space="preserve">were operating at 72%, 73% and 79% of full capacity respectively. </w:t>
      </w:r>
    </w:p>
    <w:p w14:paraId="3F4A3E36" w14:textId="62ADBD57" w:rsidR="00DA17D4" w:rsidRPr="009812F4" w:rsidRDefault="00DA17D4" w:rsidP="00D43B8C">
      <w:pPr>
        <w:pStyle w:val="ListParagraph"/>
        <w:numPr>
          <w:ilvl w:val="0"/>
          <w:numId w:val="1"/>
        </w:numPr>
        <w:spacing w:line="240" w:lineRule="auto"/>
        <w:rPr>
          <w:rFonts w:ascii="Arial" w:hAnsi="Arial" w:cs="Arial"/>
          <w:sz w:val="20"/>
          <w:szCs w:val="20"/>
        </w:rPr>
      </w:pPr>
      <w:r w:rsidRPr="009812F4">
        <w:rPr>
          <w:rFonts w:ascii="Arial" w:hAnsi="Arial" w:cs="Arial"/>
          <w:b/>
          <w:bCs/>
          <w:sz w:val="20"/>
          <w:szCs w:val="20"/>
        </w:rPr>
        <w:t xml:space="preserve">Declining </w:t>
      </w:r>
      <w:r w:rsidR="00EE720B" w:rsidRPr="009812F4">
        <w:rPr>
          <w:rFonts w:ascii="Arial" w:hAnsi="Arial" w:cs="Arial"/>
          <w:b/>
          <w:bCs/>
          <w:sz w:val="20"/>
          <w:szCs w:val="20"/>
        </w:rPr>
        <w:t>production</w:t>
      </w:r>
      <w:r w:rsidRPr="009812F4">
        <w:rPr>
          <w:rFonts w:ascii="Arial" w:hAnsi="Arial" w:cs="Arial"/>
          <w:b/>
          <w:bCs/>
          <w:sz w:val="20"/>
          <w:szCs w:val="20"/>
        </w:rPr>
        <w:t xml:space="preserve"> has led to </w:t>
      </w:r>
      <w:r w:rsidR="00EE720B" w:rsidRPr="009812F4">
        <w:rPr>
          <w:rFonts w:ascii="Arial" w:hAnsi="Arial" w:cs="Arial"/>
          <w:b/>
          <w:bCs/>
          <w:sz w:val="20"/>
          <w:szCs w:val="20"/>
        </w:rPr>
        <w:t>site closures and</w:t>
      </w:r>
      <w:r w:rsidRPr="009812F4">
        <w:rPr>
          <w:rFonts w:ascii="Arial" w:hAnsi="Arial" w:cs="Arial"/>
          <w:b/>
          <w:bCs/>
          <w:sz w:val="20"/>
          <w:szCs w:val="20"/>
        </w:rPr>
        <w:t xml:space="preserve"> job losses</w:t>
      </w:r>
      <w:r w:rsidRPr="009812F4">
        <w:rPr>
          <w:rFonts w:ascii="Arial" w:hAnsi="Arial" w:cs="Arial"/>
          <w:sz w:val="20"/>
          <w:szCs w:val="20"/>
        </w:rPr>
        <w:t>. In 2023-2024, more than 11 million tonnes worth of capacity have been announced to be closed in Europe, affecting 21 major sites.</w:t>
      </w:r>
    </w:p>
    <w:p w14:paraId="66442AEC" w14:textId="1C1F2276" w:rsidR="00CE67CB" w:rsidRPr="009812F4" w:rsidRDefault="00B32501" w:rsidP="00D43B8C">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Between 2019 &amp; 2024</w:t>
      </w:r>
      <w:r w:rsidR="003913C5" w:rsidRPr="009812F4">
        <w:rPr>
          <w:rFonts w:ascii="Arial" w:hAnsi="Arial" w:cs="Arial"/>
          <w:sz w:val="20"/>
          <w:szCs w:val="20"/>
        </w:rPr>
        <w:t>, the average annual growth</w:t>
      </w:r>
      <w:r w:rsidR="00291127" w:rsidRPr="009812F4">
        <w:rPr>
          <w:rFonts w:ascii="Arial" w:hAnsi="Arial" w:cs="Arial"/>
          <w:sz w:val="20"/>
          <w:szCs w:val="20"/>
        </w:rPr>
        <w:t xml:space="preserve"> in European chemical firms’</w:t>
      </w:r>
      <w:r w:rsidR="00CE67CB" w:rsidRPr="009812F4">
        <w:rPr>
          <w:rFonts w:ascii="Arial" w:hAnsi="Arial" w:cs="Arial"/>
          <w:sz w:val="20"/>
          <w:szCs w:val="20"/>
        </w:rPr>
        <w:t xml:space="preserve"> </w:t>
      </w:r>
      <w:r w:rsidR="00CE67CB" w:rsidRPr="009812F4">
        <w:rPr>
          <w:rFonts w:ascii="Arial" w:hAnsi="Arial" w:cs="Arial"/>
          <w:b/>
          <w:bCs/>
          <w:sz w:val="20"/>
          <w:szCs w:val="20"/>
        </w:rPr>
        <w:t xml:space="preserve">investment </w:t>
      </w:r>
      <w:r w:rsidR="00F17A11" w:rsidRPr="009812F4">
        <w:rPr>
          <w:rFonts w:ascii="Arial" w:hAnsi="Arial" w:cs="Arial"/>
          <w:b/>
          <w:bCs/>
          <w:sz w:val="20"/>
          <w:szCs w:val="20"/>
        </w:rPr>
        <w:t xml:space="preserve">spending </w:t>
      </w:r>
      <w:r w:rsidR="00CE67CB" w:rsidRPr="009812F4">
        <w:rPr>
          <w:rFonts w:ascii="Arial" w:hAnsi="Arial" w:cs="Arial"/>
          <w:b/>
          <w:bCs/>
          <w:sz w:val="20"/>
          <w:szCs w:val="20"/>
        </w:rPr>
        <w:t>has been half the rate of the</w:t>
      </w:r>
      <w:r w:rsidR="0078494F" w:rsidRPr="009812F4">
        <w:rPr>
          <w:rFonts w:ascii="Arial" w:hAnsi="Arial" w:cs="Arial"/>
          <w:b/>
          <w:bCs/>
          <w:sz w:val="20"/>
          <w:szCs w:val="20"/>
        </w:rPr>
        <w:t>ir</w:t>
      </w:r>
      <w:r w:rsidR="00CE67CB" w:rsidRPr="009812F4">
        <w:rPr>
          <w:rFonts w:ascii="Arial" w:hAnsi="Arial" w:cs="Arial"/>
          <w:b/>
          <w:bCs/>
          <w:sz w:val="20"/>
          <w:szCs w:val="20"/>
        </w:rPr>
        <w:t xml:space="preserve"> US</w:t>
      </w:r>
      <w:r w:rsidR="0078494F" w:rsidRPr="009812F4">
        <w:rPr>
          <w:rFonts w:ascii="Arial" w:hAnsi="Arial" w:cs="Arial"/>
          <w:b/>
          <w:bCs/>
          <w:sz w:val="20"/>
          <w:szCs w:val="20"/>
        </w:rPr>
        <w:t xml:space="preserve"> counterparts</w:t>
      </w:r>
      <w:r w:rsidR="00CE67CB" w:rsidRPr="009812F4">
        <w:rPr>
          <w:rFonts w:ascii="Arial" w:hAnsi="Arial" w:cs="Arial"/>
          <w:sz w:val="20"/>
          <w:szCs w:val="20"/>
        </w:rPr>
        <w:t xml:space="preserve"> (1.5% versus 3.0%), a gap we forecast will persist in the next decade. Eight of the world’s 10 largest chemical companies are scaling back or withdrawing from Europe, while </w:t>
      </w:r>
      <w:r w:rsidR="00CE67CB" w:rsidRPr="009812F4">
        <w:rPr>
          <w:rFonts w:ascii="Arial" w:hAnsi="Arial" w:cs="Arial"/>
          <w:b/>
          <w:bCs/>
          <w:sz w:val="20"/>
          <w:szCs w:val="20"/>
        </w:rPr>
        <w:t>all of the top 10 US producers are investing and expanding</w:t>
      </w:r>
      <w:r w:rsidR="00CE67CB" w:rsidRPr="009812F4">
        <w:rPr>
          <w:rFonts w:ascii="Arial" w:hAnsi="Arial" w:cs="Arial"/>
          <w:sz w:val="20"/>
          <w:szCs w:val="20"/>
        </w:rPr>
        <w:t>.</w:t>
      </w:r>
    </w:p>
    <w:p w14:paraId="7DC28106" w14:textId="77777777" w:rsidR="00A34D1D" w:rsidRPr="009812F4" w:rsidRDefault="00A34D1D" w:rsidP="00A34D1D">
      <w:pPr>
        <w:spacing w:line="240" w:lineRule="auto"/>
        <w:rPr>
          <w:rFonts w:ascii="Arial" w:hAnsi="Arial" w:cs="Arial"/>
          <w:b/>
          <w:bCs/>
          <w:sz w:val="20"/>
          <w:szCs w:val="20"/>
          <w:u w:val="single"/>
        </w:rPr>
      </w:pPr>
      <w:r w:rsidRPr="009812F4">
        <w:rPr>
          <w:rFonts w:ascii="Arial" w:hAnsi="Arial" w:cs="Arial"/>
          <w:b/>
          <w:bCs/>
          <w:sz w:val="20"/>
          <w:szCs w:val="20"/>
          <w:u w:val="single"/>
        </w:rPr>
        <w:t>Three key drivers behind the European chemical industry’s weak outlook</w:t>
      </w:r>
    </w:p>
    <w:p w14:paraId="29DCABA2" w14:textId="77777777" w:rsidR="00A34D1D" w:rsidRPr="009812F4" w:rsidRDefault="00A34D1D" w:rsidP="00A34D1D">
      <w:pPr>
        <w:spacing w:line="240" w:lineRule="auto"/>
        <w:rPr>
          <w:rFonts w:ascii="Arial" w:hAnsi="Arial" w:cs="Arial"/>
          <w:b/>
          <w:bCs/>
          <w:sz w:val="20"/>
          <w:szCs w:val="20"/>
        </w:rPr>
      </w:pPr>
      <w:r w:rsidRPr="009812F4">
        <w:rPr>
          <w:rFonts w:ascii="Arial" w:hAnsi="Arial" w:cs="Arial"/>
          <w:b/>
          <w:bCs/>
          <w:sz w:val="20"/>
          <w:szCs w:val="20"/>
        </w:rPr>
        <w:t>1. Energy price differentials</w:t>
      </w:r>
    </w:p>
    <w:p w14:paraId="11B12146" w14:textId="6E22E579"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In 2025Q3, European gas prices were</w:t>
      </w:r>
      <w:r w:rsidRPr="009812F4">
        <w:rPr>
          <w:rFonts w:ascii="Arial" w:hAnsi="Arial" w:cs="Arial"/>
          <w:b/>
          <w:bCs/>
          <w:sz w:val="20"/>
          <w:szCs w:val="20"/>
        </w:rPr>
        <w:t xml:space="preserve"> four times higher than in the US</w:t>
      </w:r>
      <w:r w:rsidRPr="009812F4">
        <w:rPr>
          <w:rFonts w:ascii="Arial" w:hAnsi="Arial" w:cs="Arial"/>
          <w:sz w:val="20"/>
          <w:szCs w:val="20"/>
        </w:rPr>
        <w:t xml:space="preserve"> and will remain just under three to four times higher than </w:t>
      </w:r>
      <w:r w:rsidR="00F11B96" w:rsidRPr="009812F4">
        <w:rPr>
          <w:rFonts w:ascii="Arial" w:hAnsi="Arial" w:cs="Arial"/>
          <w:sz w:val="20"/>
          <w:szCs w:val="20"/>
        </w:rPr>
        <w:t xml:space="preserve">in </w:t>
      </w:r>
      <w:r w:rsidRPr="009812F4">
        <w:rPr>
          <w:rFonts w:ascii="Arial" w:hAnsi="Arial" w:cs="Arial"/>
          <w:sz w:val="20"/>
          <w:szCs w:val="20"/>
        </w:rPr>
        <w:t>the US over the next 5 years.</w:t>
      </w:r>
    </w:p>
    <w:p w14:paraId="53562F7A" w14:textId="77777777"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While Europe relies on LNG imports which are both more expensive and volatile, </w:t>
      </w:r>
      <w:r w:rsidRPr="009812F4">
        <w:rPr>
          <w:rFonts w:ascii="Arial" w:hAnsi="Arial" w:cs="Arial"/>
          <w:b/>
          <w:sz w:val="20"/>
          <w:szCs w:val="20"/>
        </w:rPr>
        <w:t xml:space="preserve">China utilises discounted Russian gas to support its industry and chemical production </w:t>
      </w:r>
      <w:r w:rsidRPr="009812F4">
        <w:rPr>
          <w:rFonts w:ascii="Arial" w:hAnsi="Arial" w:cs="Arial"/>
          <w:sz w:val="20"/>
          <w:szCs w:val="20"/>
        </w:rPr>
        <w:t xml:space="preserve">further undermining UK and European chemical competitiveness. </w:t>
      </w:r>
    </w:p>
    <w:p w14:paraId="2C684C3D" w14:textId="77777777" w:rsidR="00A34D1D" w:rsidRPr="009812F4" w:rsidRDefault="00A34D1D" w:rsidP="00A34D1D">
      <w:pPr>
        <w:pStyle w:val="ListParagraph"/>
        <w:numPr>
          <w:ilvl w:val="0"/>
          <w:numId w:val="2"/>
        </w:numPr>
        <w:spacing w:line="240" w:lineRule="auto"/>
        <w:rPr>
          <w:rFonts w:ascii="Arial" w:hAnsi="Arial" w:cs="Arial"/>
          <w:b/>
          <w:bCs/>
          <w:sz w:val="20"/>
          <w:szCs w:val="20"/>
        </w:rPr>
      </w:pPr>
      <w:r w:rsidRPr="009812F4">
        <w:rPr>
          <w:rFonts w:ascii="Arial" w:hAnsi="Arial" w:cs="Arial"/>
          <w:sz w:val="20"/>
          <w:szCs w:val="20"/>
        </w:rPr>
        <w:t xml:space="preserve">Industrial electricity prices for European producers are currently </w:t>
      </w:r>
      <w:r w:rsidRPr="009812F4">
        <w:rPr>
          <w:rFonts w:ascii="Arial" w:hAnsi="Arial" w:cs="Arial"/>
          <w:b/>
          <w:bCs/>
          <w:sz w:val="20"/>
          <w:szCs w:val="20"/>
        </w:rPr>
        <w:t>between two and three times higher than industrial gas prices.</w:t>
      </w:r>
    </w:p>
    <w:p w14:paraId="38418FBC" w14:textId="62228722" w:rsidR="00A34D1D" w:rsidRPr="009812F4" w:rsidRDefault="00CE134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As a result, u</w:t>
      </w:r>
      <w:r w:rsidR="00A34D1D" w:rsidRPr="009812F4">
        <w:rPr>
          <w:rFonts w:ascii="Arial" w:hAnsi="Arial" w:cs="Arial"/>
          <w:sz w:val="20"/>
          <w:szCs w:val="20"/>
        </w:rPr>
        <w:t xml:space="preserve">nless industrial electricity costs fall substantially, </w:t>
      </w:r>
      <w:r w:rsidR="00A34D1D" w:rsidRPr="009812F4">
        <w:rPr>
          <w:rFonts w:ascii="Arial" w:hAnsi="Arial" w:cs="Arial"/>
          <w:b/>
          <w:sz w:val="20"/>
          <w:szCs w:val="20"/>
        </w:rPr>
        <w:t>higher rates of electrification will further erode the European chemicals sector’s competitiveness</w:t>
      </w:r>
      <w:r w:rsidR="00A34D1D" w:rsidRPr="009812F4">
        <w:rPr>
          <w:rFonts w:ascii="Arial" w:hAnsi="Arial" w:cs="Arial"/>
          <w:sz w:val="20"/>
          <w:szCs w:val="20"/>
        </w:rPr>
        <w:t xml:space="preserve"> relative to other jurisdictions.</w:t>
      </w:r>
    </w:p>
    <w:p w14:paraId="4633F564" w14:textId="77777777" w:rsidR="00A34D1D" w:rsidRPr="009812F4" w:rsidRDefault="00A34D1D" w:rsidP="00A34D1D">
      <w:pPr>
        <w:spacing w:line="240" w:lineRule="auto"/>
        <w:rPr>
          <w:rFonts w:ascii="Arial" w:hAnsi="Arial" w:cs="Arial"/>
          <w:b/>
          <w:bCs/>
          <w:sz w:val="20"/>
          <w:szCs w:val="20"/>
        </w:rPr>
      </w:pPr>
      <w:r w:rsidRPr="009812F4">
        <w:rPr>
          <w:rFonts w:ascii="Arial" w:hAnsi="Arial" w:cs="Arial"/>
          <w:b/>
          <w:bCs/>
          <w:sz w:val="20"/>
          <w:szCs w:val="20"/>
        </w:rPr>
        <w:t>2. Environmental regulation and other regulatory pressures</w:t>
      </w:r>
    </w:p>
    <w:p w14:paraId="5259CBDA" w14:textId="77777777"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Through the EU’s and UK’s Emissions Trading System, chemical companies pay for the CO2 they emit. </w:t>
      </w:r>
      <w:r w:rsidRPr="009812F4">
        <w:rPr>
          <w:rFonts w:ascii="Arial" w:hAnsi="Arial" w:cs="Arial"/>
          <w:b/>
          <w:bCs/>
          <w:sz w:val="20"/>
          <w:szCs w:val="20"/>
        </w:rPr>
        <w:t xml:space="preserve">These costs are not paid by companies exporting into the EU or UK, </w:t>
      </w:r>
      <w:r w:rsidRPr="009812F4">
        <w:rPr>
          <w:rFonts w:ascii="Arial" w:hAnsi="Arial" w:cs="Arial"/>
          <w:sz w:val="20"/>
          <w:szCs w:val="20"/>
        </w:rPr>
        <w:t xml:space="preserve">putting them at a financial disadvantage. </w:t>
      </w:r>
      <w:r w:rsidRPr="009812F4">
        <w:rPr>
          <w:rFonts w:ascii="Arial" w:hAnsi="Arial" w:cs="Arial"/>
          <w:b/>
          <w:bCs/>
          <w:sz w:val="20"/>
          <w:szCs w:val="20"/>
        </w:rPr>
        <w:t xml:space="preserve">It is </w:t>
      </w:r>
      <w:r w:rsidRPr="009812F4">
        <w:rPr>
          <w:rFonts w:ascii="Arial" w:hAnsi="Arial" w:cs="Arial"/>
          <w:b/>
          <w:sz w:val="20"/>
          <w:szCs w:val="20"/>
        </w:rPr>
        <w:t>forecast that carbon prices in Europe will increase even further, more than doubling by 2040.</w:t>
      </w:r>
    </w:p>
    <w:p w14:paraId="59EE51D2" w14:textId="77777777"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It is estimated it will require </w:t>
      </w:r>
      <w:r w:rsidRPr="009812F4">
        <w:rPr>
          <w:rFonts w:ascii="Arial" w:hAnsi="Arial" w:cs="Arial"/>
          <w:b/>
          <w:bCs/>
          <w:sz w:val="20"/>
          <w:szCs w:val="20"/>
        </w:rPr>
        <w:t>€800 billion–€1 trillion of investment</w:t>
      </w:r>
      <w:r w:rsidRPr="009812F4">
        <w:rPr>
          <w:rFonts w:ascii="Arial" w:hAnsi="Arial" w:cs="Arial"/>
          <w:sz w:val="20"/>
          <w:szCs w:val="20"/>
        </w:rPr>
        <w:t xml:space="preserve"> for the European chemicals sector to meet net zero goals. </w:t>
      </w:r>
      <w:r w:rsidRPr="009812F4">
        <w:rPr>
          <w:rFonts w:ascii="Arial" w:hAnsi="Arial" w:cs="Arial"/>
          <w:b/>
          <w:bCs/>
          <w:sz w:val="20"/>
          <w:szCs w:val="20"/>
        </w:rPr>
        <w:t>Other jurisdictions do not have such ambitious decarbonisation targets</w:t>
      </w:r>
      <w:r w:rsidRPr="009812F4">
        <w:rPr>
          <w:rFonts w:ascii="Arial" w:hAnsi="Arial" w:cs="Arial"/>
          <w:sz w:val="20"/>
          <w:szCs w:val="20"/>
        </w:rPr>
        <w:t>.</w:t>
      </w:r>
    </w:p>
    <w:p w14:paraId="26C5C726" w14:textId="77777777" w:rsidR="00A34D1D" w:rsidRPr="009812F4" w:rsidRDefault="00A34D1D" w:rsidP="00A34D1D">
      <w:pPr>
        <w:spacing w:line="240" w:lineRule="auto"/>
        <w:rPr>
          <w:rFonts w:ascii="Arial" w:hAnsi="Arial" w:cs="Arial"/>
          <w:b/>
          <w:bCs/>
          <w:sz w:val="20"/>
          <w:szCs w:val="20"/>
        </w:rPr>
      </w:pPr>
      <w:r w:rsidRPr="009812F4">
        <w:rPr>
          <w:rFonts w:ascii="Arial" w:hAnsi="Arial" w:cs="Arial"/>
          <w:b/>
          <w:bCs/>
          <w:sz w:val="20"/>
          <w:szCs w:val="20"/>
        </w:rPr>
        <w:t>3. Rising foreign competition &amp; trade imbalance</w:t>
      </w:r>
    </w:p>
    <w:p w14:paraId="0C75B8D3" w14:textId="77777777"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While Europe’s chemical producers’ output is at its lowest for a decade, </w:t>
      </w:r>
      <w:r w:rsidRPr="009812F4">
        <w:rPr>
          <w:rFonts w:ascii="Arial" w:hAnsi="Arial" w:cs="Arial"/>
          <w:b/>
          <w:bCs/>
          <w:sz w:val="20"/>
          <w:szCs w:val="20"/>
        </w:rPr>
        <w:t>chemical imports into European countries have increased substantially</w:t>
      </w:r>
      <w:r w:rsidRPr="009812F4">
        <w:rPr>
          <w:rFonts w:ascii="Arial" w:hAnsi="Arial" w:cs="Arial"/>
          <w:sz w:val="20"/>
          <w:szCs w:val="20"/>
        </w:rPr>
        <w:t xml:space="preserve">. Since 2019, total chemical imports into Belgium have increased by 60% whilst imports into Germany and France have increased by nearly 50%. </w:t>
      </w:r>
    </w:p>
    <w:p w14:paraId="1B403D16" w14:textId="77777777" w:rsidR="00A34D1D" w:rsidRPr="009812F4" w:rsidRDefault="00A34D1D" w:rsidP="00A34D1D">
      <w:pPr>
        <w:pStyle w:val="ListParagraph"/>
        <w:numPr>
          <w:ilvl w:val="0"/>
          <w:numId w:val="2"/>
        </w:numPr>
        <w:spacing w:line="240" w:lineRule="auto"/>
        <w:rPr>
          <w:rFonts w:ascii="Arial" w:hAnsi="Arial" w:cs="Arial"/>
          <w:b/>
          <w:bCs/>
          <w:sz w:val="20"/>
          <w:szCs w:val="20"/>
        </w:rPr>
      </w:pPr>
      <w:r w:rsidRPr="009812F4">
        <w:rPr>
          <w:rFonts w:ascii="Arial" w:hAnsi="Arial" w:cs="Arial"/>
          <w:sz w:val="20"/>
          <w:szCs w:val="20"/>
        </w:rPr>
        <w:t xml:space="preserve">China have significantly ramped up their domestic chemical capacity, </w:t>
      </w:r>
      <w:r w:rsidRPr="009812F4">
        <w:rPr>
          <w:rFonts w:ascii="Arial" w:hAnsi="Arial" w:cs="Arial"/>
          <w:b/>
          <w:bCs/>
          <w:sz w:val="20"/>
          <w:szCs w:val="20"/>
        </w:rPr>
        <w:t>fuelled by cheap Russian gas/crude oil</w:t>
      </w:r>
      <w:r w:rsidRPr="009812F4">
        <w:rPr>
          <w:rFonts w:ascii="Arial" w:hAnsi="Arial" w:cs="Arial"/>
          <w:sz w:val="20"/>
          <w:szCs w:val="20"/>
        </w:rPr>
        <w:t xml:space="preserve">. Due to relatively weak domestic demand, focus has shifted to exporting to European markets. </w:t>
      </w:r>
      <w:r w:rsidRPr="009812F4">
        <w:rPr>
          <w:rFonts w:ascii="Arial" w:hAnsi="Arial" w:cs="Arial"/>
          <w:b/>
          <w:bCs/>
          <w:sz w:val="20"/>
          <w:szCs w:val="20"/>
        </w:rPr>
        <w:t>Chinese imports of chemical products into the EU increased by 34% between 2019 and 2024.</w:t>
      </w:r>
    </w:p>
    <w:p w14:paraId="0A7444F2" w14:textId="77777777"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lastRenderedPageBreak/>
        <w:t>This expansion has also prompted Middle Eastern and US chemical companies to shift their export focus towards European markets.</w:t>
      </w:r>
    </w:p>
    <w:p w14:paraId="2985A420" w14:textId="278FA7F6" w:rsidR="00A34D1D" w:rsidRPr="009812F4" w:rsidRDefault="00A34D1D" w:rsidP="00A34D1D">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Under the </w:t>
      </w:r>
      <w:r w:rsidRPr="009812F4">
        <w:rPr>
          <w:rFonts w:ascii="Arial" w:hAnsi="Arial" w:cs="Arial"/>
          <w:b/>
          <w:bCs/>
          <w:sz w:val="20"/>
          <w:szCs w:val="20"/>
        </w:rPr>
        <w:t>new EU-US trade deal</w:t>
      </w:r>
      <w:r w:rsidRPr="009812F4">
        <w:rPr>
          <w:rFonts w:ascii="Arial" w:hAnsi="Arial" w:cs="Arial"/>
          <w:sz w:val="20"/>
          <w:szCs w:val="20"/>
        </w:rPr>
        <w:t xml:space="preserve">, </w:t>
      </w:r>
      <w:r w:rsidR="00AF5950" w:rsidRPr="009812F4">
        <w:rPr>
          <w:rFonts w:ascii="Arial" w:hAnsi="Arial" w:cs="Arial"/>
          <w:sz w:val="20"/>
          <w:szCs w:val="20"/>
        </w:rPr>
        <w:t xml:space="preserve">EU </w:t>
      </w:r>
      <w:r w:rsidRPr="009812F4">
        <w:rPr>
          <w:rFonts w:ascii="Arial" w:hAnsi="Arial" w:cs="Arial"/>
          <w:sz w:val="20"/>
          <w:szCs w:val="20"/>
        </w:rPr>
        <w:t>chemical firms wanting to export to the US will face a 15% tariff (previous 6.5%). US chemical producers now face a zero tariff when exporting into the EU (previously 6.5%).</w:t>
      </w:r>
    </w:p>
    <w:p w14:paraId="37D920A7" w14:textId="77777777" w:rsidR="00A34D1D" w:rsidRPr="009812F4" w:rsidRDefault="00A34D1D" w:rsidP="00B8300E">
      <w:pPr>
        <w:pStyle w:val="ListParagraph"/>
        <w:numPr>
          <w:ilvl w:val="0"/>
          <w:numId w:val="2"/>
        </w:numPr>
        <w:spacing w:line="240" w:lineRule="auto"/>
        <w:rPr>
          <w:rFonts w:ascii="Arial" w:hAnsi="Arial" w:cs="Arial"/>
          <w:sz w:val="20"/>
          <w:szCs w:val="20"/>
        </w:rPr>
      </w:pPr>
      <w:r w:rsidRPr="009812F4">
        <w:rPr>
          <w:rFonts w:ascii="Arial" w:hAnsi="Arial" w:cs="Arial"/>
          <w:sz w:val="20"/>
          <w:szCs w:val="20"/>
        </w:rPr>
        <w:t xml:space="preserve">Tariffs protecting US business mean Chinese </w:t>
      </w:r>
      <w:r w:rsidRPr="009812F4">
        <w:rPr>
          <w:rFonts w:ascii="Arial" w:hAnsi="Arial" w:cs="Arial"/>
          <w:b/>
          <w:bCs/>
          <w:sz w:val="20"/>
          <w:szCs w:val="20"/>
        </w:rPr>
        <w:t>product that was destined for US markets will now be redirected into Europe</w:t>
      </w:r>
      <w:r w:rsidRPr="009812F4">
        <w:rPr>
          <w:rFonts w:ascii="Arial" w:hAnsi="Arial" w:cs="Arial"/>
          <w:sz w:val="20"/>
          <w:szCs w:val="20"/>
        </w:rPr>
        <w:t>.</w:t>
      </w:r>
    </w:p>
    <w:p w14:paraId="5DC09A7C" w14:textId="7FE444F2" w:rsidR="2D2514E1" w:rsidRPr="009812F4" w:rsidRDefault="2D2514E1" w:rsidP="2D2514E1">
      <w:pPr>
        <w:pStyle w:val="ListParagraph"/>
        <w:spacing w:line="240" w:lineRule="auto"/>
        <w:rPr>
          <w:rFonts w:ascii="Arial" w:hAnsi="Arial" w:cs="Arial"/>
          <w:sz w:val="20"/>
          <w:szCs w:val="20"/>
        </w:rPr>
      </w:pPr>
    </w:p>
    <w:p w14:paraId="618DE161" w14:textId="24CF1804" w:rsidR="00673EEF" w:rsidRPr="009812F4" w:rsidRDefault="00BC3748" w:rsidP="00A34D1D">
      <w:pPr>
        <w:spacing w:line="240" w:lineRule="auto"/>
        <w:rPr>
          <w:rFonts w:ascii="Arial" w:hAnsi="Arial" w:cs="Arial"/>
          <w:sz w:val="20"/>
          <w:szCs w:val="20"/>
        </w:rPr>
      </w:pPr>
      <w:r w:rsidRPr="009812F4">
        <w:rPr>
          <w:rFonts w:ascii="Arial" w:hAnsi="Arial" w:cs="Arial"/>
          <w:b/>
          <w:bCs/>
          <w:sz w:val="20"/>
          <w:szCs w:val="20"/>
          <w:u w:val="single"/>
        </w:rPr>
        <w:t>Three key implications of decline</w:t>
      </w:r>
      <w:r w:rsidR="006F6E89" w:rsidRPr="009812F4">
        <w:rPr>
          <w:rFonts w:ascii="Arial" w:hAnsi="Arial" w:cs="Arial"/>
          <w:b/>
          <w:bCs/>
          <w:sz w:val="20"/>
          <w:szCs w:val="20"/>
          <w:u w:val="single"/>
        </w:rPr>
        <w:t xml:space="preserve"> </w:t>
      </w:r>
    </w:p>
    <w:p w14:paraId="390E1B34" w14:textId="3CB9A67C" w:rsidR="00DA17D4" w:rsidRPr="009812F4" w:rsidRDefault="00BC3748" w:rsidP="00B8300E">
      <w:pPr>
        <w:rPr>
          <w:rFonts w:ascii="Arial" w:hAnsi="Arial" w:cs="Arial"/>
          <w:b/>
          <w:color w:val="000000" w:themeColor="text1"/>
          <w:sz w:val="20"/>
          <w:szCs w:val="20"/>
        </w:rPr>
      </w:pPr>
      <w:r w:rsidRPr="009812F4">
        <w:rPr>
          <w:rFonts w:ascii="Arial" w:hAnsi="Arial" w:cs="Arial"/>
          <w:b/>
          <w:color w:val="000000" w:themeColor="text1"/>
          <w:sz w:val="20"/>
          <w:szCs w:val="20"/>
        </w:rPr>
        <w:t xml:space="preserve">1. </w:t>
      </w:r>
      <w:r w:rsidR="006629BC" w:rsidRPr="009812F4">
        <w:rPr>
          <w:rFonts w:ascii="Arial" w:hAnsi="Arial" w:cs="Arial"/>
          <w:b/>
          <w:color w:val="000000" w:themeColor="text1"/>
          <w:sz w:val="20"/>
          <w:szCs w:val="20"/>
        </w:rPr>
        <w:t>Economic</w:t>
      </w:r>
    </w:p>
    <w:p w14:paraId="5F41E371" w14:textId="30C568F6" w:rsidR="00EE3A11" w:rsidRPr="009812F4" w:rsidRDefault="00DA17D4" w:rsidP="00B8300E">
      <w:pPr>
        <w:pStyle w:val="ListParagraph"/>
        <w:numPr>
          <w:ilvl w:val="0"/>
          <w:numId w:val="1"/>
        </w:numPr>
        <w:spacing w:line="240" w:lineRule="auto"/>
        <w:rPr>
          <w:rFonts w:ascii="Arial" w:hAnsi="Arial" w:cs="Arial"/>
          <w:color w:val="000000" w:themeColor="text1"/>
          <w:sz w:val="20"/>
          <w:szCs w:val="20"/>
        </w:rPr>
      </w:pPr>
      <w:r w:rsidRPr="009812F4">
        <w:rPr>
          <w:rFonts w:ascii="Arial" w:hAnsi="Arial" w:cs="Arial"/>
          <w:color w:val="000000" w:themeColor="text1"/>
          <w:sz w:val="20"/>
          <w:szCs w:val="20"/>
        </w:rPr>
        <w:t>The chemical sector</w:t>
      </w:r>
      <w:r w:rsidR="00E16985" w:rsidRPr="009812F4">
        <w:rPr>
          <w:rFonts w:ascii="Arial" w:hAnsi="Arial" w:cs="Arial"/>
          <w:color w:val="000000" w:themeColor="text1"/>
          <w:sz w:val="20"/>
          <w:szCs w:val="20"/>
        </w:rPr>
        <w:t xml:space="preserve"> </w:t>
      </w:r>
      <w:r w:rsidR="007F0AED" w:rsidRPr="009812F4">
        <w:rPr>
          <w:rFonts w:ascii="Arial" w:hAnsi="Arial" w:cs="Arial"/>
          <w:color w:val="000000" w:themeColor="text1"/>
          <w:sz w:val="20"/>
          <w:szCs w:val="20"/>
        </w:rPr>
        <w:t xml:space="preserve">is </w:t>
      </w:r>
      <w:r w:rsidR="00E16985" w:rsidRPr="009812F4">
        <w:rPr>
          <w:rFonts w:ascii="Arial" w:hAnsi="Arial" w:cs="Arial"/>
          <w:color w:val="000000" w:themeColor="text1"/>
          <w:sz w:val="20"/>
          <w:szCs w:val="20"/>
        </w:rPr>
        <w:t>Europe’s fourth largest industrial sector</w:t>
      </w:r>
      <w:r w:rsidR="007F0AED" w:rsidRPr="009812F4">
        <w:rPr>
          <w:rFonts w:ascii="Arial" w:hAnsi="Arial" w:cs="Arial"/>
          <w:color w:val="000000" w:themeColor="text1"/>
          <w:sz w:val="20"/>
          <w:szCs w:val="20"/>
        </w:rPr>
        <w:t>. It’s</w:t>
      </w:r>
      <w:r w:rsidRPr="009812F4">
        <w:rPr>
          <w:rFonts w:ascii="Arial" w:hAnsi="Arial" w:cs="Arial"/>
          <w:color w:val="000000" w:themeColor="text1"/>
          <w:sz w:val="20"/>
          <w:szCs w:val="20"/>
        </w:rPr>
        <w:t xml:space="preserve"> heavily interwoven with the European economy and </w:t>
      </w:r>
      <w:r w:rsidR="00CC558B" w:rsidRPr="009812F4">
        <w:rPr>
          <w:rFonts w:ascii="Arial" w:hAnsi="Arial" w:cs="Arial"/>
          <w:color w:val="000000" w:themeColor="text1"/>
          <w:sz w:val="20"/>
          <w:szCs w:val="20"/>
        </w:rPr>
        <w:t>employs</w:t>
      </w:r>
      <w:r w:rsidRPr="009812F4">
        <w:rPr>
          <w:rFonts w:ascii="Arial" w:hAnsi="Arial" w:cs="Arial"/>
          <w:color w:val="000000" w:themeColor="text1"/>
          <w:sz w:val="20"/>
          <w:szCs w:val="20"/>
        </w:rPr>
        <w:t xml:space="preserve"> 1.2million people. </w:t>
      </w:r>
    </w:p>
    <w:p w14:paraId="6CF630C8" w14:textId="78A293E3" w:rsidR="00B511AA" w:rsidRPr="009812F4" w:rsidRDefault="00DA17D4" w:rsidP="00DC4FB5">
      <w:pPr>
        <w:pStyle w:val="ListParagraph"/>
        <w:numPr>
          <w:ilvl w:val="1"/>
          <w:numId w:val="1"/>
        </w:numPr>
        <w:spacing w:line="240" w:lineRule="auto"/>
        <w:rPr>
          <w:rFonts w:ascii="Arial" w:hAnsi="Arial" w:cs="Arial"/>
          <w:color w:val="000000" w:themeColor="text1"/>
          <w:sz w:val="20"/>
          <w:szCs w:val="20"/>
        </w:rPr>
      </w:pPr>
      <w:r w:rsidRPr="009812F4">
        <w:rPr>
          <w:rFonts w:ascii="Arial" w:hAnsi="Arial" w:cs="Arial"/>
          <w:color w:val="000000" w:themeColor="text1"/>
          <w:sz w:val="20"/>
          <w:szCs w:val="20"/>
        </w:rPr>
        <w:t xml:space="preserve">For every job in the sector, it supports between </w:t>
      </w:r>
      <w:r w:rsidR="00D45BC6" w:rsidRPr="009812F4">
        <w:rPr>
          <w:rFonts w:ascii="Arial" w:hAnsi="Arial" w:cs="Arial"/>
          <w:color w:val="000000" w:themeColor="text1"/>
          <w:sz w:val="20"/>
          <w:szCs w:val="20"/>
        </w:rPr>
        <w:t>3</w:t>
      </w:r>
      <w:r w:rsidR="0068174E" w:rsidRPr="009812F4">
        <w:rPr>
          <w:rFonts w:ascii="Arial" w:hAnsi="Arial" w:cs="Arial"/>
          <w:color w:val="000000" w:themeColor="text1"/>
          <w:sz w:val="20"/>
          <w:szCs w:val="20"/>
        </w:rPr>
        <w:t>.0</w:t>
      </w:r>
      <w:r w:rsidR="00D45BC6" w:rsidRPr="009812F4">
        <w:rPr>
          <w:rFonts w:ascii="Arial" w:hAnsi="Arial" w:cs="Arial"/>
          <w:color w:val="000000" w:themeColor="text1"/>
          <w:sz w:val="20"/>
          <w:szCs w:val="20"/>
        </w:rPr>
        <w:t xml:space="preserve"> </w:t>
      </w:r>
      <w:r w:rsidRPr="009812F4">
        <w:rPr>
          <w:rFonts w:ascii="Arial" w:hAnsi="Arial" w:cs="Arial"/>
          <w:color w:val="000000" w:themeColor="text1"/>
          <w:sz w:val="20"/>
          <w:szCs w:val="20"/>
        </w:rPr>
        <w:t>to 4.6 jobs elsewhere in Europe through its supply chain and through staff spending their wages in the consumer economy.</w:t>
      </w:r>
    </w:p>
    <w:p w14:paraId="7E5DECD8" w14:textId="77777777" w:rsidR="00B511AA" w:rsidRPr="009812F4" w:rsidRDefault="00B511AA" w:rsidP="00DC4FB5">
      <w:pPr>
        <w:pStyle w:val="ListParagraph"/>
        <w:numPr>
          <w:ilvl w:val="1"/>
          <w:numId w:val="1"/>
        </w:numPr>
        <w:spacing w:line="240" w:lineRule="auto"/>
        <w:rPr>
          <w:rStyle w:val="apple-converted-space"/>
          <w:rFonts w:ascii="Arial" w:hAnsi="Arial" w:cs="Arial"/>
          <w:color w:val="000000" w:themeColor="text1"/>
          <w:sz w:val="20"/>
          <w:szCs w:val="20"/>
        </w:rPr>
      </w:pPr>
      <w:r w:rsidRPr="009812F4">
        <w:rPr>
          <w:rFonts w:ascii="Arial" w:hAnsi="Arial" w:cs="Arial"/>
          <w:color w:val="000000" w:themeColor="text1"/>
          <w:sz w:val="20"/>
          <w:szCs w:val="20"/>
        </w:rPr>
        <w:t>For every €1 million the sector contributes to GDP, it supports another €1.1 to €1.4 elsewhere within the domestic economy.</w:t>
      </w:r>
      <w:r w:rsidRPr="009812F4">
        <w:rPr>
          <w:rStyle w:val="apple-converted-space"/>
          <w:rFonts w:ascii="Arial" w:eastAsiaTheme="majorEastAsia" w:hAnsi="Arial" w:cs="Arial"/>
          <w:color w:val="000000" w:themeColor="text1"/>
          <w:sz w:val="20"/>
          <w:szCs w:val="20"/>
        </w:rPr>
        <w:t> </w:t>
      </w:r>
    </w:p>
    <w:p w14:paraId="74DEC661" w14:textId="53CFB880" w:rsidR="000E3F12" w:rsidRPr="009812F4" w:rsidRDefault="009A1054" w:rsidP="00AA2DF7">
      <w:pPr>
        <w:pStyle w:val="ListParagraph"/>
        <w:numPr>
          <w:ilvl w:val="0"/>
          <w:numId w:val="1"/>
        </w:numPr>
        <w:spacing w:line="240" w:lineRule="auto"/>
        <w:rPr>
          <w:rFonts w:ascii="Arial" w:hAnsi="Arial" w:cs="Arial"/>
          <w:color w:val="000000" w:themeColor="text1"/>
          <w:sz w:val="20"/>
          <w:szCs w:val="20"/>
        </w:rPr>
      </w:pPr>
      <w:r w:rsidRPr="009812F4">
        <w:rPr>
          <w:rFonts w:ascii="Arial" w:hAnsi="Arial" w:cs="Arial"/>
          <w:color w:val="000000" w:themeColor="text1"/>
          <w:sz w:val="20"/>
          <w:szCs w:val="20"/>
        </w:rPr>
        <w:t>The sale of each €100 million of chemical products produced by any of the four major chemical producing countries in the EU and UK supports between 620 and 830 people in employment across Europe</w:t>
      </w:r>
      <w:r w:rsidR="003D77E9" w:rsidRPr="009812F4">
        <w:rPr>
          <w:rFonts w:ascii="Arial" w:hAnsi="Arial" w:cs="Arial"/>
          <w:color w:val="000000" w:themeColor="text1"/>
          <w:sz w:val="20"/>
          <w:szCs w:val="20"/>
        </w:rPr>
        <w:t xml:space="preserve"> (directly, </w:t>
      </w:r>
      <w:r w:rsidR="00C63681" w:rsidRPr="009812F4">
        <w:rPr>
          <w:rFonts w:ascii="Arial" w:hAnsi="Arial" w:cs="Arial"/>
          <w:color w:val="000000" w:themeColor="text1"/>
          <w:sz w:val="20"/>
          <w:szCs w:val="20"/>
        </w:rPr>
        <w:t>through the supply chain or the consumer economy).</w:t>
      </w:r>
    </w:p>
    <w:p w14:paraId="0A8F5D91" w14:textId="6E0B12AC" w:rsidR="00095EC8" w:rsidRPr="009812F4" w:rsidRDefault="00B511AA" w:rsidP="00887136">
      <w:pPr>
        <w:pStyle w:val="ListParagraph"/>
        <w:numPr>
          <w:ilvl w:val="1"/>
          <w:numId w:val="1"/>
        </w:numPr>
        <w:spacing w:line="240" w:lineRule="auto"/>
        <w:rPr>
          <w:rFonts w:ascii="Arial" w:hAnsi="Arial" w:cs="Arial"/>
          <w:color w:val="000000" w:themeColor="text1"/>
          <w:sz w:val="20"/>
          <w:szCs w:val="20"/>
        </w:rPr>
      </w:pPr>
      <w:r w:rsidRPr="009812F4">
        <w:rPr>
          <w:rFonts w:ascii="Arial" w:hAnsi="Arial" w:cs="Arial"/>
          <w:color w:val="000000" w:themeColor="text1"/>
          <w:sz w:val="20"/>
          <w:szCs w:val="20"/>
        </w:rPr>
        <w:t xml:space="preserve">By comparison, if production moved to the US or China, the purchase of €100 million of imported chemicals </w:t>
      </w:r>
      <w:r w:rsidRPr="009812F4">
        <w:rPr>
          <w:rFonts w:ascii="Arial" w:hAnsi="Arial" w:cs="Arial"/>
          <w:b/>
          <w:color w:val="000000" w:themeColor="text1"/>
          <w:sz w:val="20"/>
          <w:szCs w:val="20"/>
        </w:rPr>
        <w:t>would result in 580–790 fewer jobs</w:t>
      </w:r>
      <w:r w:rsidRPr="009812F4">
        <w:rPr>
          <w:rFonts w:ascii="Arial" w:hAnsi="Arial" w:cs="Arial"/>
          <w:color w:val="000000" w:themeColor="text1"/>
          <w:sz w:val="20"/>
          <w:szCs w:val="20"/>
        </w:rPr>
        <w:t xml:space="preserve"> being supported in the EU and UK as import activities are only estimated to support 30–40 people through the use of European suppliers and consumer spending impacts.</w:t>
      </w:r>
    </w:p>
    <w:p w14:paraId="59A2E41E" w14:textId="131CA122" w:rsidR="00CE67CB" w:rsidRPr="009812F4" w:rsidRDefault="00CE67CB" w:rsidP="00CE67CB">
      <w:pPr>
        <w:rPr>
          <w:rFonts w:ascii="Arial" w:hAnsi="Arial" w:cs="Arial"/>
          <w:b/>
          <w:bCs/>
          <w:sz w:val="20"/>
          <w:szCs w:val="20"/>
        </w:rPr>
      </w:pPr>
      <w:r w:rsidRPr="009812F4">
        <w:rPr>
          <w:rFonts w:ascii="Arial" w:hAnsi="Arial" w:cs="Arial"/>
          <w:b/>
          <w:bCs/>
          <w:sz w:val="20"/>
          <w:szCs w:val="20"/>
        </w:rPr>
        <w:t xml:space="preserve">2. </w:t>
      </w:r>
      <w:r w:rsidR="00D43B8C" w:rsidRPr="009812F4">
        <w:rPr>
          <w:rFonts w:ascii="Arial" w:hAnsi="Arial" w:cs="Arial"/>
          <w:b/>
          <w:bCs/>
          <w:sz w:val="20"/>
          <w:szCs w:val="20"/>
        </w:rPr>
        <w:t>Strategic</w:t>
      </w:r>
    </w:p>
    <w:p w14:paraId="19FD7049" w14:textId="6A7B6D1E" w:rsidR="00331CEB" w:rsidRPr="009812F4" w:rsidRDefault="00D417FB" w:rsidP="00CE67CB">
      <w:pPr>
        <w:pStyle w:val="ListParagraph"/>
        <w:numPr>
          <w:ilvl w:val="0"/>
          <w:numId w:val="20"/>
        </w:numPr>
        <w:spacing w:line="240" w:lineRule="auto"/>
        <w:rPr>
          <w:rFonts w:ascii="Arial" w:hAnsi="Arial" w:cs="Arial"/>
          <w:sz w:val="20"/>
          <w:szCs w:val="20"/>
        </w:rPr>
      </w:pPr>
      <w:r w:rsidRPr="009812F4">
        <w:rPr>
          <w:rFonts w:ascii="Arial" w:hAnsi="Arial" w:cs="Arial"/>
          <w:sz w:val="20"/>
          <w:szCs w:val="20"/>
        </w:rPr>
        <w:t>Chemicals are essential to critical national infrastructure, healthcare, transport, defence, construction,</w:t>
      </w:r>
      <w:r w:rsidR="00D43B8C" w:rsidRPr="009812F4">
        <w:rPr>
          <w:rFonts w:ascii="Arial" w:hAnsi="Arial" w:cs="Arial"/>
          <w:sz w:val="20"/>
          <w:szCs w:val="20"/>
        </w:rPr>
        <w:t xml:space="preserve"> manufacturing and more.</w:t>
      </w:r>
    </w:p>
    <w:p w14:paraId="77D49014" w14:textId="7DAF9B03" w:rsidR="00402AB7" w:rsidRPr="009812F4" w:rsidRDefault="00544199" w:rsidP="00457637">
      <w:pPr>
        <w:pStyle w:val="ListParagraph"/>
        <w:numPr>
          <w:ilvl w:val="0"/>
          <w:numId w:val="1"/>
        </w:numPr>
        <w:spacing w:line="240" w:lineRule="auto"/>
        <w:rPr>
          <w:rFonts w:ascii="Arial" w:hAnsi="Arial" w:cs="Arial"/>
          <w:sz w:val="20"/>
          <w:szCs w:val="20"/>
          <w:lang w:eastAsia="en-GB"/>
        </w:rPr>
      </w:pPr>
      <w:r w:rsidRPr="009812F4">
        <w:rPr>
          <w:rFonts w:ascii="Arial" w:hAnsi="Arial" w:cs="Arial"/>
          <w:sz w:val="20"/>
          <w:szCs w:val="20"/>
        </w:rPr>
        <w:t>For example, c</w:t>
      </w:r>
      <w:r w:rsidR="00AF2E13" w:rsidRPr="009812F4">
        <w:rPr>
          <w:rFonts w:ascii="Arial" w:hAnsi="Arial" w:cs="Arial"/>
          <w:sz w:val="20"/>
          <w:szCs w:val="20"/>
          <w:lang w:eastAsia="en-GB"/>
        </w:rPr>
        <w:t xml:space="preserve">hlorine is critical for water </w:t>
      </w:r>
      <w:r w:rsidR="009E3CC5" w:rsidRPr="009812F4">
        <w:rPr>
          <w:rFonts w:ascii="Arial" w:hAnsi="Arial" w:cs="Arial"/>
          <w:sz w:val="20"/>
          <w:szCs w:val="20"/>
          <w:lang w:eastAsia="en-GB"/>
        </w:rPr>
        <w:t>treatment</w:t>
      </w:r>
      <w:r w:rsidR="00D43B8C" w:rsidRPr="009812F4">
        <w:rPr>
          <w:rFonts w:ascii="Arial" w:hAnsi="Arial" w:cs="Arial"/>
          <w:sz w:val="20"/>
          <w:szCs w:val="20"/>
          <w:lang w:eastAsia="en-GB"/>
        </w:rPr>
        <w:t xml:space="preserve">, </w:t>
      </w:r>
      <w:r w:rsidR="009E3CC5" w:rsidRPr="009812F4">
        <w:rPr>
          <w:rFonts w:ascii="Arial" w:hAnsi="Arial" w:cs="Arial"/>
          <w:sz w:val="20"/>
          <w:szCs w:val="20"/>
          <w:lang w:eastAsia="en-GB"/>
        </w:rPr>
        <w:t xml:space="preserve">solvents are essential </w:t>
      </w:r>
      <w:r w:rsidR="00D43B8C" w:rsidRPr="009812F4">
        <w:rPr>
          <w:rFonts w:ascii="Arial" w:hAnsi="Arial" w:cs="Arial"/>
          <w:sz w:val="20"/>
          <w:szCs w:val="20"/>
          <w:lang w:eastAsia="en-GB"/>
        </w:rPr>
        <w:t>to produce</w:t>
      </w:r>
      <w:r w:rsidR="009E3CC5" w:rsidRPr="009812F4">
        <w:rPr>
          <w:rFonts w:ascii="Arial" w:hAnsi="Arial" w:cs="Arial"/>
          <w:sz w:val="20"/>
          <w:szCs w:val="20"/>
          <w:lang w:eastAsia="en-GB"/>
        </w:rPr>
        <w:t xml:space="preserve"> medicines and vaccinations</w:t>
      </w:r>
      <w:r w:rsidR="00D43B8C" w:rsidRPr="009812F4">
        <w:rPr>
          <w:rFonts w:ascii="Arial" w:hAnsi="Arial" w:cs="Arial"/>
          <w:sz w:val="20"/>
          <w:szCs w:val="20"/>
          <w:lang w:eastAsia="en-GB"/>
        </w:rPr>
        <w:t>, and</w:t>
      </w:r>
      <w:r w:rsidR="00E71185" w:rsidRPr="009812F4">
        <w:rPr>
          <w:rFonts w:ascii="Arial" w:hAnsi="Arial" w:cs="Arial"/>
          <w:sz w:val="20"/>
          <w:szCs w:val="20"/>
          <w:lang w:eastAsia="en-GB"/>
        </w:rPr>
        <w:t xml:space="preserve"> </w:t>
      </w:r>
      <w:r w:rsidR="00457637" w:rsidRPr="009812F4">
        <w:rPr>
          <w:rFonts w:ascii="Arial" w:hAnsi="Arial" w:cs="Arial"/>
          <w:sz w:val="20"/>
          <w:szCs w:val="20"/>
          <w:lang w:eastAsia="en-GB"/>
        </w:rPr>
        <w:t>c</w:t>
      </w:r>
      <w:r w:rsidR="00EF1036" w:rsidRPr="009812F4">
        <w:rPr>
          <w:rFonts w:ascii="Arial" w:hAnsi="Arial" w:cs="Arial"/>
          <w:sz w:val="20"/>
          <w:szCs w:val="20"/>
          <w:lang w:eastAsia="en-GB"/>
        </w:rPr>
        <w:t xml:space="preserve">arbon fibre is necessary </w:t>
      </w:r>
      <w:r w:rsidR="00D43B8C" w:rsidRPr="009812F4">
        <w:rPr>
          <w:rFonts w:ascii="Arial" w:hAnsi="Arial" w:cs="Arial"/>
          <w:sz w:val="20"/>
          <w:szCs w:val="20"/>
          <w:lang w:eastAsia="en-GB"/>
        </w:rPr>
        <w:t>to produce</w:t>
      </w:r>
      <w:r w:rsidR="00EF1036" w:rsidRPr="009812F4">
        <w:rPr>
          <w:rFonts w:ascii="Arial" w:hAnsi="Arial" w:cs="Arial"/>
          <w:sz w:val="20"/>
          <w:szCs w:val="20"/>
          <w:lang w:eastAsia="en-GB"/>
        </w:rPr>
        <w:t xml:space="preserve"> lightweight transportation and defence systems. </w:t>
      </w:r>
    </w:p>
    <w:p w14:paraId="626CC885" w14:textId="087A283C" w:rsidR="001728EA" w:rsidRPr="009812F4" w:rsidRDefault="00D417FB" w:rsidP="006A69B3">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 xml:space="preserve">Increased import dependence has </w:t>
      </w:r>
      <w:r w:rsidRPr="009812F4">
        <w:rPr>
          <w:rFonts w:ascii="Arial" w:hAnsi="Arial" w:cs="Arial"/>
          <w:b/>
          <w:bCs/>
          <w:sz w:val="20"/>
          <w:szCs w:val="20"/>
        </w:rPr>
        <w:t>significant implications for national security</w:t>
      </w:r>
      <w:r w:rsidR="00537853" w:rsidRPr="009812F4">
        <w:rPr>
          <w:rFonts w:ascii="Arial" w:hAnsi="Arial" w:cs="Arial"/>
          <w:sz w:val="20"/>
          <w:szCs w:val="20"/>
        </w:rPr>
        <w:t>.</w:t>
      </w:r>
    </w:p>
    <w:p w14:paraId="2827F98B" w14:textId="684FAEF8" w:rsidR="006A69B3" w:rsidRPr="009812F4" w:rsidRDefault="001728EA" w:rsidP="006A69B3">
      <w:pPr>
        <w:rPr>
          <w:rFonts w:ascii="Arial" w:hAnsi="Arial" w:cs="Arial"/>
          <w:b/>
          <w:sz w:val="20"/>
          <w:szCs w:val="20"/>
        </w:rPr>
      </w:pPr>
      <w:r w:rsidRPr="009812F4">
        <w:rPr>
          <w:rFonts w:ascii="Arial" w:hAnsi="Arial" w:cs="Arial"/>
          <w:b/>
          <w:sz w:val="20"/>
          <w:szCs w:val="20"/>
        </w:rPr>
        <w:t xml:space="preserve">3. </w:t>
      </w:r>
      <w:r w:rsidR="00C80B59" w:rsidRPr="009812F4">
        <w:rPr>
          <w:rFonts w:ascii="Arial" w:hAnsi="Arial" w:cs="Arial"/>
          <w:b/>
          <w:sz w:val="20"/>
          <w:szCs w:val="20"/>
        </w:rPr>
        <w:t>Environmental</w:t>
      </w:r>
    </w:p>
    <w:p w14:paraId="74C55FEE" w14:textId="3FEB4ADE" w:rsidR="005A02D4" w:rsidRPr="009812F4" w:rsidRDefault="00FE186B" w:rsidP="00FE186B">
      <w:pPr>
        <w:pStyle w:val="ListParagraph"/>
        <w:numPr>
          <w:ilvl w:val="0"/>
          <w:numId w:val="21"/>
        </w:numPr>
        <w:rPr>
          <w:rFonts w:ascii="Arial" w:hAnsi="Arial" w:cs="Arial"/>
          <w:sz w:val="20"/>
          <w:szCs w:val="20"/>
        </w:rPr>
      </w:pPr>
      <w:r w:rsidRPr="009812F4">
        <w:rPr>
          <w:rFonts w:ascii="Arial" w:hAnsi="Arial" w:cs="Arial"/>
          <w:sz w:val="20"/>
          <w:szCs w:val="20"/>
        </w:rPr>
        <w:t>The decline of the European chemicals sector means that Europe will increasingly rely on imports of chemicals. These chemicals will be produced in a more emissions intensive manner in economies such as China, the US, and the Middle East. </w:t>
      </w:r>
    </w:p>
    <w:p w14:paraId="4F5EBE2D" w14:textId="6608A596" w:rsidR="002509BD" w:rsidRPr="009812F4" w:rsidRDefault="00E8011A" w:rsidP="002509BD">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Emissions</w:t>
      </w:r>
      <w:r w:rsidR="001E1973" w:rsidRPr="009812F4">
        <w:rPr>
          <w:rFonts w:ascii="Arial" w:hAnsi="Arial" w:cs="Arial"/>
          <w:sz w:val="20"/>
          <w:szCs w:val="20"/>
        </w:rPr>
        <w:t xml:space="preserve"> data suggests that chemicals production would produce twice the carbon emissions if production was in the US and three times the carbon emissions if production took place in China.</w:t>
      </w:r>
    </w:p>
    <w:p w14:paraId="1BF1ACA4" w14:textId="77777777" w:rsidR="00941B8F" w:rsidRPr="009812F4" w:rsidRDefault="002509BD" w:rsidP="006D0D2F">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Additional emissions will also result from the greater distances the imports are required to travel.</w:t>
      </w:r>
    </w:p>
    <w:p w14:paraId="474869F8" w14:textId="133BDB78" w:rsidR="006A4C90" w:rsidRPr="009812F4" w:rsidRDefault="002509BD" w:rsidP="006D0D2F">
      <w:pPr>
        <w:pStyle w:val="ListParagraph"/>
        <w:numPr>
          <w:ilvl w:val="0"/>
          <w:numId w:val="1"/>
        </w:numPr>
        <w:spacing w:line="240" w:lineRule="auto"/>
        <w:rPr>
          <w:rFonts w:ascii="Arial" w:hAnsi="Arial" w:cs="Arial"/>
          <w:sz w:val="20"/>
          <w:szCs w:val="20"/>
        </w:rPr>
      </w:pPr>
      <w:r w:rsidRPr="009812F4">
        <w:rPr>
          <w:rFonts w:ascii="Arial" w:hAnsi="Arial" w:cs="Arial"/>
          <w:sz w:val="20"/>
          <w:szCs w:val="20"/>
        </w:rPr>
        <w:t xml:space="preserve">Therefore, </w:t>
      </w:r>
      <w:r w:rsidRPr="009812F4">
        <w:rPr>
          <w:rFonts w:ascii="Arial" w:hAnsi="Arial" w:cs="Arial"/>
          <w:b/>
          <w:bCs/>
          <w:sz w:val="20"/>
          <w:szCs w:val="20"/>
        </w:rPr>
        <w:t xml:space="preserve">paradoxically, the </w:t>
      </w:r>
      <w:r w:rsidR="00941B8F" w:rsidRPr="009812F4">
        <w:rPr>
          <w:rFonts w:ascii="Arial" w:hAnsi="Arial" w:cs="Arial"/>
          <w:b/>
          <w:bCs/>
          <w:sz w:val="20"/>
          <w:szCs w:val="20"/>
        </w:rPr>
        <w:t>decline of the EU chemical industry</w:t>
      </w:r>
      <w:r w:rsidRPr="009812F4">
        <w:rPr>
          <w:rFonts w:ascii="Arial" w:hAnsi="Arial" w:cs="Arial"/>
          <w:b/>
          <w:bCs/>
          <w:sz w:val="20"/>
          <w:szCs w:val="20"/>
        </w:rPr>
        <w:t xml:space="preserve"> may raise global emissions</w:t>
      </w:r>
      <w:r w:rsidRPr="009812F4">
        <w:rPr>
          <w:rFonts w:ascii="Arial" w:hAnsi="Arial" w:cs="Arial"/>
          <w:sz w:val="20"/>
          <w:szCs w:val="20"/>
        </w:rPr>
        <w:t>.</w:t>
      </w:r>
    </w:p>
    <w:p w14:paraId="0794AA67" w14:textId="219A323D" w:rsidR="00A34D1D" w:rsidRPr="009812F4" w:rsidRDefault="001E5A35" w:rsidP="00104ACC">
      <w:pPr>
        <w:spacing w:line="240" w:lineRule="auto"/>
        <w:rPr>
          <w:rFonts w:ascii="Arial" w:hAnsi="Arial" w:cs="Arial"/>
          <w:sz w:val="20"/>
          <w:szCs w:val="20"/>
        </w:rPr>
      </w:pPr>
      <w:r w:rsidRPr="009812F4">
        <w:rPr>
          <w:rFonts w:ascii="Arial" w:hAnsi="Arial" w:cs="Arial"/>
          <w:b/>
          <w:sz w:val="20"/>
          <w:szCs w:val="20"/>
          <w:u w:val="single"/>
        </w:rPr>
        <w:br/>
      </w:r>
      <w:r w:rsidR="00A34D1D" w:rsidRPr="009812F4">
        <w:rPr>
          <w:rFonts w:ascii="Arial" w:hAnsi="Arial" w:cs="Arial"/>
          <w:b/>
          <w:sz w:val="20"/>
          <w:szCs w:val="20"/>
          <w:u w:val="single"/>
        </w:rPr>
        <w:t xml:space="preserve">We need urgent action, or the UK and EU will lose a pillar of its industrial base </w:t>
      </w:r>
    </w:p>
    <w:p w14:paraId="6D59F573" w14:textId="77777777" w:rsidR="00A34D1D" w:rsidRPr="009812F4" w:rsidRDefault="00A34D1D" w:rsidP="00A34D1D">
      <w:pPr>
        <w:pStyle w:val="ListParagraph"/>
        <w:numPr>
          <w:ilvl w:val="0"/>
          <w:numId w:val="16"/>
        </w:numPr>
        <w:spacing w:line="240" w:lineRule="auto"/>
        <w:rPr>
          <w:rFonts w:ascii="Arial" w:hAnsi="Arial" w:cs="Arial"/>
          <w:sz w:val="20"/>
          <w:szCs w:val="20"/>
        </w:rPr>
      </w:pPr>
      <w:r w:rsidRPr="009812F4">
        <w:rPr>
          <w:rFonts w:ascii="Arial" w:hAnsi="Arial" w:cs="Arial"/>
          <w:sz w:val="20"/>
          <w:szCs w:val="20"/>
        </w:rPr>
        <w:t xml:space="preserve">Cutting taxes and levies on industrial energy and providing targeted relief could stem the tide and prevent further closures. </w:t>
      </w:r>
    </w:p>
    <w:p w14:paraId="2F2A3A49" w14:textId="5939A441" w:rsidR="00A34D1D" w:rsidRPr="009812F4" w:rsidRDefault="00D726D0" w:rsidP="00A34D1D">
      <w:pPr>
        <w:pStyle w:val="ListParagraph"/>
        <w:numPr>
          <w:ilvl w:val="0"/>
          <w:numId w:val="16"/>
        </w:numPr>
        <w:spacing w:line="240" w:lineRule="auto"/>
        <w:rPr>
          <w:rFonts w:ascii="Arial" w:hAnsi="Arial" w:cs="Arial"/>
          <w:sz w:val="20"/>
          <w:szCs w:val="20"/>
        </w:rPr>
      </w:pPr>
      <w:r w:rsidRPr="009812F4">
        <w:rPr>
          <w:rFonts w:ascii="Arial" w:hAnsi="Arial" w:cs="Arial"/>
          <w:sz w:val="20"/>
          <w:szCs w:val="20"/>
        </w:rPr>
        <w:t>Targeted tariffs</w:t>
      </w:r>
      <w:r w:rsidR="00A34D1D" w:rsidRPr="009812F4">
        <w:rPr>
          <w:rFonts w:ascii="Arial" w:hAnsi="Arial" w:cs="Arial"/>
          <w:sz w:val="20"/>
          <w:szCs w:val="20"/>
        </w:rPr>
        <w:t xml:space="preserve"> and well-designed carbon border measures will protect Europe’s market share from competitors who are using subsidised or low-regulated energy.</w:t>
      </w:r>
    </w:p>
    <w:p w14:paraId="55E4AECE" w14:textId="77777777" w:rsidR="007179D7" w:rsidRDefault="00A34D1D" w:rsidP="007179D7">
      <w:pPr>
        <w:pStyle w:val="ListParagraph"/>
        <w:numPr>
          <w:ilvl w:val="0"/>
          <w:numId w:val="16"/>
        </w:numPr>
        <w:spacing w:line="240" w:lineRule="auto"/>
        <w:rPr>
          <w:rFonts w:ascii="Arial" w:hAnsi="Arial" w:cs="Arial"/>
          <w:sz w:val="20"/>
          <w:szCs w:val="20"/>
        </w:rPr>
      </w:pPr>
      <w:r w:rsidRPr="009812F4">
        <w:rPr>
          <w:rFonts w:ascii="Arial" w:hAnsi="Arial" w:cs="Arial"/>
          <w:sz w:val="20"/>
          <w:szCs w:val="20"/>
        </w:rPr>
        <w:t>Restoring free allocations and reducing CO</w:t>
      </w:r>
      <w:r w:rsidRPr="009812F4">
        <w:rPr>
          <w:rFonts w:ascii="Cambria Math" w:hAnsi="Cambria Math" w:cs="Cambria Math"/>
          <w:sz w:val="20"/>
          <w:szCs w:val="20"/>
        </w:rPr>
        <w:t>₂</w:t>
      </w:r>
      <w:r w:rsidRPr="009812F4">
        <w:rPr>
          <w:rFonts w:ascii="Arial" w:hAnsi="Arial" w:cs="Arial"/>
          <w:sz w:val="20"/>
          <w:szCs w:val="20"/>
        </w:rPr>
        <w:t xml:space="preserve"> pricing would provide immediate relief and buy time for investment in decarbonisation technologies like CCS and hydrogen.</w:t>
      </w:r>
    </w:p>
    <w:p w14:paraId="16A98D17" w14:textId="77777777" w:rsidR="004D3F51" w:rsidRDefault="004D3F51" w:rsidP="004D3F51">
      <w:pPr>
        <w:spacing w:line="240" w:lineRule="auto"/>
        <w:rPr>
          <w:rFonts w:ascii="Arial" w:hAnsi="Arial" w:cs="Arial"/>
          <w:sz w:val="20"/>
          <w:szCs w:val="20"/>
        </w:rPr>
      </w:pPr>
    </w:p>
    <w:p w14:paraId="454EEC1D" w14:textId="2D526AC2" w:rsidR="004D3F51" w:rsidRPr="004D3F51" w:rsidRDefault="004D3F51" w:rsidP="004D3F51">
      <w:pPr>
        <w:rPr>
          <w:sz w:val="20"/>
          <w:szCs w:val="20"/>
        </w:rPr>
      </w:pPr>
      <w:r w:rsidRPr="004D3F51">
        <w:rPr>
          <w:rFonts w:ascii="Arial" w:hAnsi="Arial" w:cs="Arial"/>
          <w:sz w:val="20"/>
          <w:szCs w:val="20"/>
        </w:rPr>
        <w:t xml:space="preserve">The full report can be downloaded here: </w:t>
      </w:r>
      <w:r w:rsidRPr="004D3F51">
        <w:rPr>
          <w:sz w:val="20"/>
          <w:szCs w:val="20"/>
        </w:rPr>
        <w:t xml:space="preserve">. </w:t>
      </w:r>
      <w:hyperlink r:id="rId12" w:history="1">
        <w:r w:rsidRPr="004D3F51">
          <w:rPr>
            <w:rStyle w:val="Hyperlink"/>
            <w:sz w:val="20"/>
            <w:szCs w:val="20"/>
          </w:rPr>
          <w:t>https://we.tl/t-qlW3ot22J2</w:t>
        </w:r>
      </w:hyperlink>
    </w:p>
    <w:sectPr w:rsidR="004D3F51" w:rsidRPr="004D3F51" w:rsidSect="009812F4">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BFB27" w14:textId="77777777" w:rsidR="001A12EB" w:rsidRDefault="001A12EB">
      <w:pPr>
        <w:spacing w:after="0" w:line="240" w:lineRule="auto"/>
      </w:pPr>
      <w:r>
        <w:separator/>
      </w:r>
    </w:p>
  </w:endnote>
  <w:endnote w:type="continuationSeparator" w:id="0">
    <w:p w14:paraId="0F1E529C" w14:textId="77777777" w:rsidR="001A12EB" w:rsidRDefault="001A12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A0D9" w14:textId="3A003461" w:rsidR="00754E13" w:rsidRPr="00754E13" w:rsidRDefault="00754E13">
    <w:pPr>
      <w:pStyle w:val="Footer"/>
      <w:rPr>
        <w:i/>
        <w:iCs/>
        <w:color w:val="EE0000"/>
        <w:sz w:val="16"/>
        <w:szCs w:val="16"/>
      </w:rPr>
    </w:pPr>
    <w:r w:rsidRPr="00754E13">
      <w:rPr>
        <w:i/>
        <w:iCs/>
        <w:color w:val="EE0000"/>
        <w:sz w:val="16"/>
        <w:szCs w:val="16"/>
      </w:rPr>
      <w:t>N.B. Data citations can be found in the full Oxford Economics report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723091"/>
      <w:docPartObj>
        <w:docPartGallery w:val="Page Numbers (Bottom of Page)"/>
        <w:docPartUnique/>
      </w:docPartObj>
    </w:sdtPr>
    <w:sdtContent>
      <w:sdt>
        <w:sdtPr>
          <w:id w:val="-1769616900"/>
          <w:docPartObj>
            <w:docPartGallery w:val="Page Numbers (Top of Page)"/>
            <w:docPartUnique/>
          </w:docPartObj>
        </w:sdtPr>
        <w:sdtContent>
          <w:p w14:paraId="1CA7312B" w14:textId="49C938AF" w:rsidR="009812F4" w:rsidRDefault="009812F4" w:rsidP="009812F4">
            <w:pPr>
              <w:pStyle w:val="Footer"/>
            </w:pPr>
            <w:r w:rsidRPr="009812F4">
              <w:rPr>
                <w:sz w:val="18"/>
                <w:szCs w:val="18"/>
              </w:rPr>
              <w:t xml:space="preserve">Page </w:t>
            </w:r>
            <w:r w:rsidRPr="009812F4">
              <w:rPr>
                <w:b/>
                <w:bCs/>
                <w:sz w:val="18"/>
                <w:szCs w:val="18"/>
              </w:rPr>
              <w:fldChar w:fldCharType="begin"/>
            </w:r>
            <w:r w:rsidRPr="009812F4">
              <w:rPr>
                <w:b/>
                <w:bCs/>
                <w:sz w:val="18"/>
                <w:szCs w:val="18"/>
              </w:rPr>
              <w:instrText xml:space="preserve"> PAGE </w:instrText>
            </w:r>
            <w:r w:rsidRPr="009812F4">
              <w:rPr>
                <w:b/>
                <w:bCs/>
                <w:sz w:val="18"/>
                <w:szCs w:val="18"/>
              </w:rPr>
              <w:fldChar w:fldCharType="separate"/>
            </w:r>
            <w:r w:rsidRPr="009812F4">
              <w:rPr>
                <w:b/>
                <w:bCs/>
                <w:noProof/>
                <w:sz w:val="18"/>
                <w:szCs w:val="18"/>
              </w:rPr>
              <w:t>2</w:t>
            </w:r>
            <w:r w:rsidRPr="009812F4">
              <w:rPr>
                <w:b/>
                <w:bCs/>
                <w:sz w:val="18"/>
                <w:szCs w:val="18"/>
              </w:rPr>
              <w:fldChar w:fldCharType="end"/>
            </w:r>
            <w:r w:rsidRPr="009812F4">
              <w:rPr>
                <w:sz w:val="18"/>
                <w:szCs w:val="18"/>
              </w:rPr>
              <w:t xml:space="preserve"> of </w:t>
            </w:r>
            <w:r w:rsidRPr="009812F4">
              <w:rPr>
                <w:b/>
                <w:bCs/>
                <w:sz w:val="18"/>
                <w:szCs w:val="18"/>
              </w:rPr>
              <w:fldChar w:fldCharType="begin"/>
            </w:r>
            <w:r w:rsidRPr="009812F4">
              <w:rPr>
                <w:b/>
                <w:bCs/>
                <w:sz w:val="18"/>
                <w:szCs w:val="18"/>
              </w:rPr>
              <w:instrText xml:space="preserve"> NUMPAGES  </w:instrText>
            </w:r>
            <w:r w:rsidRPr="009812F4">
              <w:rPr>
                <w:b/>
                <w:bCs/>
                <w:sz w:val="18"/>
                <w:szCs w:val="18"/>
              </w:rPr>
              <w:fldChar w:fldCharType="separate"/>
            </w:r>
            <w:r w:rsidRPr="009812F4">
              <w:rPr>
                <w:b/>
                <w:bCs/>
                <w:noProof/>
                <w:sz w:val="18"/>
                <w:szCs w:val="18"/>
              </w:rPr>
              <w:t>2</w:t>
            </w:r>
            <w:r w:rsidRPr="009812F4">
              <w:rPr>
                <w:b/>
                <w:bCs/>
                <w:sz w:val="18"/>
                <w:szCs w:val="18"/>
              </w:rPr>
              <w:fldChar w:fldCharType="end"/>
            </w:r>
          </w:p>
        </w:sdtContent>
      </w:sdt>
    </w:sdtContent>
  </w:sdt>
  <w:p w14:paraId="66B2F5A4" w14:textId="77777777" w:rsidR="009812F4" w:rsidRDefault="009812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4D9D2" w14:textId="77777777" w:rsidR="001A12EB" w:rsidRDefault="001A12EB">
      <w:pPr>
        <w:spacing w:after="0" w:line="240" w:lineRule="auto"/>
      </w:pPr>
      <w:r>
        <w:separator/>
      </w:r>
    </w:p>
  </w:footnote>
  <w:footnote w:type="continuationSeparator" w:id="0">
    <w:p w14:paraId="532ACD8D" w14:textId="77777777" w:rsidR="001A12EB" w:rsidRDefault="001A12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81F5" w14:textId="774BA35D" w:rsidR="009812F4" w:rsidRDefault="009812F4">
    <w:pPr>
      <w:pStyle w:val="Header"/>
    </w:pPr>
    <w:r>
      <w:rPr>
        <w:noProof/>
      </w:rPr>
      <mc:AlternateContent>
        <mc:Choice Requires="wps">
          <w:drawing>
            <wp:anchor distT="0" distB="0" distL="114300" distR="114300" simplePos="0" relativeHeight="251663360" behindDoc="0" locked="0" layoutInCell="1" allowOverlap="1" wp14:anchorId="2C53B51C" wp14:editId="51657FB3">
              <wp:simplePos x="0" y="0"/>
              <wp:positionH relativeFrom="column">
                <wp:posOffset>4057650</wp:posOffset>
              </wp:positionH>
              <wp:positionV relativeFrom="paragraph">
                <wp:posOffset>-180340</wp:posOffset>
              </wp:positionV>
              <wp:extent cx="2282190" cy="426720"/>
              <wp:effectExtent l="0" t="0" r="0" b="0"/>
              <wp:wrapNone/>
              <wp:docPr id="2028694186" name="Text Box 1"/>
              <wp:cNvGraphicFramePr/>
              <a:graphic xmlns:a="http://schemas.openxmlformats.org/drawingml/2006/main">
                <a:graphicData uri="http://schemas.microsoft.com/office/word/2010/wordprocessingShape">
                  <wps:wsp>
                    <wps:cNvSpPr txBox="1"/>
                    <wps:spPr>
                      <a:xfrm>
                        <a:off x="0" y="0"/>
                        <a:ext cx="2282190" cy="426720"/>
                      </a:xfrm>
                      <a:prstGeom prst="rect">
                        <a:avLst/>
                      </a:prstGeom>
                      <a:noFill/>
                      <a:ln w="6350">
                        <a:noFill/>
                      </a:ln>
                    </wps:spPr>
                    <wps:txbx>
                      <w:txbxContent>
                        <w:p w14:paraId="741176A5" w14:textId="1048D448" w:rsidR="009812F4" w:rsidRPr="009812F4" w:rsidRDefault="009812F4" w:rsidP="009812F4">
                          <w:pPr>
                            <w:pStyle w:val="INTERNALCOMMheading"/>
                            <w:rPr>
                              <w:spacing w:val="0"/>
                              <w:sz w:val="40"/>
                              <w:szCs w:val="40"/>
                            </w:rPr>
                          </w:pPr>
                          <w:r>
                            <w:rPr>
                              <w:spacing w:val="0"/>
                              <w:sz w:val="40"/>
                              <w:szCs w:val="40"/>
                            </w:rPr>
                            <w:t>Report Summary</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type w14:anchorId="2C53B51C" id="_x0000_t202" coordsize="21600,21600" o:spt="202" path="m,l,21600r21600,l21600,xe">
              <v:stroke joinstyle="miter"/>
              <v:path gradientshapeok="t" o:connecttype="rect"/>
            </v:shapetype>
            <v:shape id="Text Box 1" o:spid="_x0000_s1026" type="#_x0000_t202" style="position:absolute;margin-left:319.5pt;margin-top:-14.2pt;width:179.7pt;height:3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" filled="f" stroked="f" strokeweight=".5pt">
              <v:textbox inset="0,0,0,0">
                <w:txbxContent>
                  <w:p w14:paraId="741176A5" w14:textId="1048D448" w:rsidR="009812F4" w:rsidRPr="009812F4" w:rsidRDefault="009812F4" w:rsidP="009812F4">
                    <w:pPr>
                      <w:pStyle w:val="INTERNALCOMMheading"/>
                      <w:rPr>
                        <w:spacing w:val="0"/>
                        <w:sz w:val="40"/>
                        <w:szCs w:val="40"/>
                      </w:rPr>
                    </w:pPr>
                    <w:r>
                      <w:rPr>
                        <w:spacing w:val="0"/>
                        <w:sz w:val="40"/>
                        <w:szCs w:val="40"/>
                      </w:rPr>
                      <w:t>Report Summary</w:t>
                    </w:r>
                  </w:p>
                </w:txbxContent>
              </v:textbox>
            </v:shape>
          </w:pict>
        </mc:Fallback>
      </mc:AlternateContent>
    </w:r>
    <w:r>
      <w:rPr>
        <w:noProof/>
      </w:rPr>
      <w:drawing>
        <wp:anchor distT="0" distB="0" distL="114300" distR="114300" simplePos="0" relativeHeight="251661312" behindDoc="0" locked="0" layoutInCell="1" allowOverlap="1" wp14:anchorId="251C8779" wp14:editId="46192A71">
          <wp:simplePos x="0" y="0"/>
          <wp:positionH relativeFrom="column">
            <wp:posOffset>-619125</wp:posOffset>
          </wp:positionH>
          <wp:positionV relativeFrom="paragraph">
            <wp:posOffset>-876300</wp:posOffset>
          </wp:positionV>
          <wp:extent cx="1939925" cy="1090295"/>
          <wp:effectExtent l="0" t="0" r="0" b="0"/>
          <wp:wrapNone/>
          <wp:docPr id="1243735077"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35077" name="Picture 1243735077"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39217" t="-198566" r="-2110" b="-5654"/>
                  <a:stretch/>
                </pic:blipFill>
                <pic:spPr bwMode="auto">
                  <a:xfrm>
                    <a:off x="0" y="0"/>
                    <a:ext cx="1939925" cy="1090295"/>
                  </a:xfrm>
                  <a:prstGeom prst="rect">
                    <a:avLst/>
                  </a:prstGeom>
                  <a:ln>
                    <a:noFill/>
                  </a:ln>
                  <a:extLst>
                    <a:ext uri="{53640926-AAD7-44D8-BBD7-CCE9431645EC}">
                      <a14:shadowObscured xmlns:a14="http://schemas.microsoft.com/office/drawing/2010/main"/>
                    </a:ext>
                  </a:extLst>
                </pic:spPr>
              </pic:pic>
            </a:graphicData>
          </a:graphic>
        </wp:anchor>
      </w:drawing>
    </w:r>
    <w:r>
      <w:rPr>
        <w:noProof/>
      </w:rPr>
      <mc:AlternateContent>
        <mc:Choice Requires="wps">
          <w:drawing>
            <wp:anchor distT="0" distB="0" distL="114300" distR="114300" simplePos="0" relativeHeight="251664384" behindDoc="0" locked="0" layoutInCell="1" allowOverlap="1" wp14:anchorId="1DF0774C" wp14:editId="6DCE34EF">
              <wp:simplePos x="0" y="0"/>
              <wp:positionH relativeFrom="column">
                <wp:posOffset>4070985</wp:posOffset>
              </wp:positionH>
              <wp:positionV relativeFrom="paragraph">
                <wp:posOffset>-427355</wp:posOffset>
              </wp:positionV>
              <wp:extent cx="2591447" cy="179398"/>
              <wp:effectExtent l="0" t="0" r="0" b="0"/>
              <wp:wrapNone/>
              <wp:docPr id="162816723" name="Rectangle 2"/>
              <wp:cNvGraphicFramePr/>
              <a:graphic xmlns:a="http://schemas.openxmlformats.org/drawingml/2006/main">
                <a:graphicData uri="http://schemas.microsoft.com/office/word/2010/wordprocessingShape">
                  <wps:wsp>
                    <wps:cNvSpPr/>
                    <wps:spPr>
                      <a:xfrm>
                        <a:off x="0" y="0"/>
                        <a:ext cx="2591447" cy="179398"/>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B83217" id="Rectangle 2" o:spid="_x0000_s1026" style="position:absolute;margin-left:320.55pt;margin-top:-33.65pt;width:204.05pt;height:14.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" fillcolor="#002060" stroked="f" strokeweight="1.5pt"/>
          </w:pict>
        </mc:Fallback>
      </mc:AlternateContent>
    </w:r>
    <w:r>
      <w:rPr>
        <w:noProof/>
      </w:rPr>
      <mc:AlternateContent>
        <mc:Choice Requires="wps">
          <w:drawing>
            <wp:anchor distT="0" distB="0" distL="114300" distR="114300" simplePos="0" relativeHeight="251660288" behindDoc="0" locked="0" layoutInCell="1" allowOverlap="1" wp14:anchorId="0CDB4048" wp14:editId="146141B0">
              <wp:simplePos x="0" y="0"/>
              <wp:positionH relativeFrom="column">
                <wp:posOffset>9400540</wp:posOffset>
              </wp:positionH>
              <wp:positionV relativeFrom="paragraph">
                <wp:posOffset>-367030</wp:posOffset>
              </wp:positionV>
              <wp:extent cx="2591435" cy="179070"/>
              <wp:effectExtent l="0" t="0" r="0" b="0"/>
              <wp:wrapNone/>
              <wp:docPr id="525589621" name="Rectangle 2"/>
              <wp:cNvGraphicFramePr/>
              <a:graphic xmlns:a="http://schemas.openxmlformats.org/drawingml/2006/main">
                <a:graphicData uri="http://schemas.microsoft.com/office/word/2010/wordprocessingShape">
                  <wps:wsp>
                    <wps:cNvSpPr/>
                    <wps:spPr>
                      <a:xfrm>
                        <a:off x="0" y="0"/>
                        <a:ext cx="2591435" cy="179070"/>
                      </a:xfrm>
                      <a:prstGeom prst="rect">
                        <a:avLst/>
                      </a:prstGeom>
                      <a:solidFill>
                        <a:schemeClr val="tx2">
                          <a:lumMod val="75000"/>
                          <a:lumOff val="2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3B3A79" id="Rectangle 2" o:spid="_x0000_s1026" style="position:absolute;margin-left:740.2pt;margin-top:-28.9pt;width:204.05pt;height:14.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" fillcolor="#215e99 [2431]" stroked="f" strokeweight="1.5pt"/>
          </w:pict>
        </mc:Fallback>
      </mc:AlternateContent>
    </w:r>
    <w:r>
      <w:rPr>
        <w:noProof/>
      </w:rPr>
      <mc:AlternateContent>
        <mc:Choice Requires="wps">
          <w:drawing>
            <wp:anchor distT="0" distB="0" distL="114300" distR="114300" simplePos="0" relativeHeight="251659264" behindDoc="0" locked="0" layoutInCell="1" allowOverlap="1" wp14:anchorId="5B66FB06" wp14:editId="5F43750D">
              <wp:simplePos x="0" y="0"/>
              <wp:positionH relativeFrom="column">
                <wp:posOffset>9373870</wp:posOffset>
              </wp:positionH>
              <wp:positionV relativeFrom="paragraph">
                <wp:posOffset>492760</wp:posOffset>
              </wp:positionV>
              <wp:extent cx="2282201" cy="427258"/>
              <wp:effectExtent l="0" t="0" r="0" b="0"/>
              <wp:wrapNone/>
              <wp:docPr id="1620126841" name="Text Box 1"/>
              <wp:cNvGraphicFramePr/>
              <a:graphic xmlns:a="http://schemas.openxmlformats.org/drawingml/2006/main">
                <a:graphicData uri="http://schemas.microsoft.com/office/word/2010/wordprocessingShape">
                  <wps:wsp>
                    <wps:cNvSpPr txBox="1"/>
                    <wps:spPr>
                      <a:xfrm>
                        <a:off x="0" y="0"/>
                        <a:ext cx="2282201" cy="427258"/>
                      </a:xfrm>
                      <a:prstGeom prst="rect">
                        <a:avLst/>
                      </a:prstGeom>
                      <a:noFill/>
                      <a:ln w="6350">
                        <a:noFill/>
                      </a:ln>
                    </wps:spPr>
                    <wps:txbx>
                      <w:txbxContent>
                        <w:p w14:paraId="14F46D93" w14:textId="77777777" w:rsidR="009812F4" w:rsidRPr="00A1798E" w:rsidRDefault="009812F4" w:rsidP="009812F4">
                          <w:pPr>
                            <w:pStyle w:val="INTERNALCOMMheading"/>
                            <w:rPr>
                              <w:spacing w:val="0"/>
                              <w:sz w:val="50"/>
                              <w:szCs w:val="50"/>
                            </w:rPr>
                          </w:pPr>
                          <w:r w:rsidRPr="00A1798E">
                            <w:rPr>
                              <w:spacing w:val="0"/>
                              <w:sz w:val="50"/>
                              <w:szCs w:val="50"/>
                            </w:rPr>
                            <w:t>News release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anchor>
          </w:drawing>
        </mc:Choice>
        <mc:Fallback>
          <w:pict>
            <v:shape w14:anchorId="5B66FB06" id="_x0000_s1027" type="#_x0000_t202" style="position:absolute;margin-left:738.1pt;margin-top:38.8pt;width:179.7pt;height:33.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" filled="f" stroked="f" strokeweight=".5pt">
              <v:textbox inset="0,0,0,0">
                <w:txbxContent>
                  <w:p w14:paraId="14F46D93" w14:textId="77777777" w:rsidR="009812F4" w:rsidRPr="00A1798E" w:rsidRDefault="009812F4" w:rsidP="009812F4">
                    <w:pPr>
                      <w:pStyle w:val="INTERNALCOMMheading"/>
                      <w:rPr>
                        <w:spacing w:val="0"/>
                        <w:sz w:val="50"/>
                        <w:szCs w:val="50"/>
                      </w:rPr>
                    </w:pPr>
                    <w:r w:rsidRPr="00A1798E">
                      <w:rPr>
                        <w:spacing w:val="0"/>
                        <w:sz w:val="50"/>
                        <w:szCs w:val="50"/>
                      </w:rPr>
                      <w:t>News release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8C6"/>
    <w:multiLevelType w:val="hybridMultilevel"/>
    <w:tmpl w:val="3416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81F4E"/>
    <w:multiLevelType w:val="multilevel"/>
    <w:tmpl w:val="434C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47018"/>
    <w:multiLevelType w:val="hybridMultilevel"/>
    <w:tmpl w:val="3A82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E0BE9"/>
    <w:multiLevelType w:val="hybridMultilevel"/>
    <w:tmpl w:val="3C748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8461FD"/>
    <w:multiLevelType w:val="hybridMultilevel"/>
    <w:tmpl w:val="FC5E3F8C"/>
    <w:lvl w:ilvl="0" w:tplc="24DEAF3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87503B"/>
    <w:multiLevelType w:val="hybridMultilevel"/>
    <w:tmpl w:val="7FCEA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1A5EA1"/>
    <w:multiLevelType w:val="hybridMultilevel"/>
    <w:tmpl w:val="46F6B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B5493A"/>
    <w:multiLevelType w:val="hybridMultilevel"/>
    <w:tmpl w:val="D6DC7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407222"/>
    <w:multiLevelType w:val="hybridMultilevel"/>
    <w:tmpl w:val="C2C69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4F3142"/>
    <w:multiLevelType w:val="hybridMultilevel"/>
    <w:tmpl w:val="FC7C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061F96"/>
    <w:multiLevelType w:val="hybridMultilevel"/>
    <w:tmpl w:val="9FB8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A47893"/>
    <w:multiLevelType w:val="hybridMultilevel"/>
    <w:tmpl w:val="A60C883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9D2654"/>
    <w:multiLevelType w:val="hybridMultilevel"/>
    <w:tmpl w:val="3ABCAE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5F2E10"/>
    <w:multiLevelType w:val="hybridMultilevel"/>
    <w:tmpl w:val="0E16D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8314A7"/>
    <w:multiLevelType w:val="hybridMultilevel"/>
    <w:tmpl w:val="1A7E9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2C2860"/>
    <w:multiLevelType w:val="hybridMultilevel"/>
    <w:tmpl w:val="47945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B632BF"/>
    <w:multiLevelType w:val="hybridMultilevel"/>
    <w:tmpl w:val="1712903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B3502FB"/>
    <w:multiLevelType w:val="hybridMultilevel"/>
    <w:tmpl w:val="FFB2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43A23"/>
    <w:multiLevelType w:val="hybridMultilevel"/>
    <w:tmpl w:val="017AF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9A5D20"/>
    <w:multiLevelType w:val="multilevel"/>
    <w:tmpl w:val="A0B6074E"/>
    <w:styleLink w:val="CurrentList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FC861C2"/>
    <w:multiLevelType w:val="hybridMultilevel"/>
    <w:tmpl w:val="565C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0027">
    <w:abstractNumId w:val="12"/>
  </w:num>
  <w:num w:numId="2" w16cid:durableId="1913202340">
    <w:abstractNumId w:val="5"/>
  </w:num>
  <w:num w:numId="3" w16cid:durableId="1974559200">
    <w:abstractNumId w:val="3"/>
  </w:num>
  <w:num w:numId="4" w16cid:durableId="1732265565">
    <w:abstractNumId w:val="6"/>
  </w:num>
  <w:num w:numId="5" w16cid:durableId="2081638966">
    <w:abstractNumId w:val="8"/>
  </w:num>
  <w:num w:numId="6" w16cid:durableId="1795752035">
    <w:abstractNumId w:val="15"/>
  </w:num>
  <w:num w:numId="7" w16cid:durableId="661741150">
    <w:abstractNumId w:val="20"/>
  </w:num>
  <w:num w:numId="8" w16cid:durableId="1704741774">
    <w:abstractNumId w:val="7"/>
  </w:num>
  <w:num w:numId="9" w16cid:durableId="83427527">
    <w:abstractNumId w:val="14"/>
  </w:num>
  <w:num w:numId="10" w16cid:durableId="1698316609">
    <w:abstractNumId w:val="1"/>
  </w:num>
  <w:num w:numId="11" w16cid:durableId="236328208">
    <w:abstractNumId w:val="9"/>
  </w:num>
  <w:num w:numId="12" w16cid:durableId="2081517223">
    <w:abstractNumId w:val="10"/>
  </w:num>
  <w:num w:numId="13" w16cid:durableId="1378896199">
    <w:abstractNumId w:val="13"/>
  </w:num>
  <w:num w:numId="14" w16cid:durableId="1745562395">
    <w:abstractNumId w:val="19"/>
  </w:num>
  <w:num w:numId="15" w16cid:durableId="812406285">
    <w:abstractNumId w:val="18"/>
  </w:num>
  <w:num w:numId="16" w16cid:durableId="255946939">
    <w:abstractNumId w:val="17"/>
  </w:num>
  <w:num w:numId="17" w16cid:durableId="665669580">
    <w:abstractNumId w:val="16"/>
  </w:num>
  <w:num w:numId="18" w16cid:durableId="2096123056">
    <w:abstractNumId w:val="11"/>
  </w:num>
  <w:num w:numId="19" w16cid:durableId="1186866962">
    <w:abstractNumId w:val="4"/>
  </w:num>
  <w:num w:numId="20" w16cid:durableId="1551378187">
    <w:abstractNumId w:val="2"/>
  </w:num>
  <w:num w:numId="21" w16cid:durableId="1855532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20"/>
    <w:rsid w:val="00001E00"/>
    <w:rsid w:val="000052DD"/>
    <w:rsid w:val="0001290F"/>
    <w:rsid w:val="00024BDC"/>
    <w:rsid w:val="000278A7"/>
    <w:rsid w:val="0003134E"/>
    <w:rsid w:val="00032C23"/>
    <w:rsid w:val="00035813"/>
    <w:rsid w:val="000368A4"/>
    <w:rsid w:val="00044B40"/>
    <w:rsid w:val="000551D0"/>
    <w:rsid w:val="000703C7"/>
    <w:rsid w:val="00071184"/>
    <w:rsid w:val="000742CD"/>
    <w:rsid w:val="000764E3"/>
    <w:rsid w:val="00082667"/>
    <w:rsid w:val="00086BC5"/>
    <w:rsid w:val="000901B8"/>
    <w:rsid w:val="00095EC8"/>
    <w:rsid w:val="0009755B"/>
    <w:rsid w:val="000A11E3"/>
    <w:rsid w:val="000A3C12"/>
    <w:rsid w:val="000A6CD4"/>
    <w:rsid w:val="000A7EC5"/>
    <w:rsid w:val="000B346E"/>
    <w:rsid w:val="000B3A23"/>
    <w:rsid w:val="000B411C"/>
    <w:rsid w:val="000B5A1D"/>
    <w:rsid w:val="000B6BDB"/>
    <w:rsid w:val="000C0C97"/>
    <w:rsid w:val="000C3479"/>
    <w:rsid w:val="000C6209"/>
    <w:rsid w:val="000D0CE4"/>
    <w:rsid w:val="000D2672"/>
    <w:rsid w:val="000E0723"/>
    <w:rsid w:val="000E3DC6"/>
    <w:rsid w:val="000E3F12"/>
    <w:rsid w:val="000E479A"/>
    <w:rsid w:val="000E5D1D"/>
    <w:rsid w:val="000F0D43"/>
    <w:rsid w:val="000F341D"/>
    <w:rsid w:val="000F4A90"/>
    <w:rsid w:val="00103E19"/>
    <w:rsid w:val="00104ACC"/>
    <w:rsid w:val="0011452C"/>
    <w:rsid w:val="00114898"/>
    <w:rsid w:val="0011559F"/>
    <w:rsid w:val="00126D79"/>
    <w:rsid w:val="0013369B"/>
    <w:rsid w:val="00136692"/>
    <w:rsid w:val="0013676C"/>
    <w:rsid w:val="00137ACA"/>
    <w:rsid w:val="00137E64"/>
    <w:rsid w:val="00141C2E"/>
    <w:rsid w:val="00142DC4"/>
    <w:rsid w:val="00143A19"/>
    <w:rsid w:val="00146A36"/>
    <w:rsid w:val="00151024"/>
    <w:rsid w:val="001548A2"/>
    <w:rsid w:val="001608BB"/>
    <w:rsid w:val="001623E9"/>
    <w:rsid w:val="0016497F"/>
    <w:rsid w:val="001728EA"/>
    <w:rsid w:val="001732DE"/>
    <w:rsid w:val="0018231B"/>
    <w:rsid w:val="00187389"/>
    <w:rsid w:val="00187BF2"/>
    <w:rsid w:val="00187FB3"/>
    <w:rsid w:val="0019157E"/>
    <w:rsid w:val="00191C65"/>
    <w:rsid w:val="00193649"/>
    <w:rsid w:val="001A12EB"/>
    <w:rsid w:val="001A5E2D"/>
    <w:rsid w:val="001A6B91"/>
    <w:rsid w:val="001B3A5E"/>
    <w:rsid w:val="001B43B5"/>
    <w:rsid w:val="001B65D0"/>
    <w:rsid w:val="001C3DDB"/>
    <w:rsid w:val="001C4AA4"/>
    <w:rsid w:val="001C612E"/>
    <w:rsid w:val="001C74E7"/>
    <w:rsid w:val="001C7AD0"/>
    <w:rsid w:val="001D2171"/>
    <w:rsid w:val="001D3AD0"/>
    <w:rsid w:val="001D5F6D"/>
    <w:rsid w:val="001D62C4"/>
    <w:rsid w:val="001E1973"/>
    <w:rsid w:val="001E1AC4"/>
    <w:rsid w:val="001E5A35"/>
    <w:rsid w:val="001F36C9"/>
    <w:rsid w:val="001F4458"/>
    <w:rsid w:val="0020114D"/>
    <w:rsid w:val="002120DA"/>
    <w:rsid w:val="002121EC"/>
    <w:rsid w:val="0021537D"/>
    <w:rsid w:val="00223A35"/>
    <w:rsid w:val="00232165"/>
    <w:rsid w:val="002364FF"/>
    <w:rsid w:val="0024296D"/>
    <w:rsid w:val="00243131"/>
    <w:rsid w:val="0024471F"/>
    <w:rsid w:val="00244BB9"/>
    <w:rsid w:val="002509BD"/>
    <w:rsid w:val="00256D56"/>
    <w:rsid w:val="002601C4"/>
    <w:rsid w:val="00260C26"/>
    <w:rsid w:val="0026292A"/>
    <w:rsid w:val="00262FF7"/>
    <w:rsid w:val="002661F0"/>
    <w:rsid w:val="002700ED"/>
    <w:rsid w:val="002710EE"/>
    <w:rsid w:val="00271DFA"/>
    <w:rsid w:val="0027332A"/>
    <w:rsid w:val="00274D53"/>
    <w:rsid w:val="0028023D"/>
    <w:rsid w:val="00284DFD"/>
    <w:rsid w:val="002866BB"/>
    <w:rsid w:val="00291127"/>
    <w:rsid w:val="00297858"/>
    <w:rsid w:val="002B3039"/>
    <w:rsid w:val="002B6694"/>
    <w:rsid w:val="002C1CE2"/>
    <w:rsid w:val="002C35BD"/>
    <w:rsid w:val="002D5839"/>
    <w:rsid w:val="002D766F"/>
    <w:rsid w:val="002F51D7"/>
    <w:rsid w:val="002F7728"/>
    <w:rsid w:val="00300E29"/>
    <w:rsid w:val="00303A1E"/>
    <w:rsid w:val="00314CCF"/>
    <w:rsid w:val="0032000F"/>
    <w:rsid w:val="003318EE"/>
    <w:rsid w:val="00331CEB"/>
    <w:rsid w:val="003328DD"/>
    <w:rsid w:val="003331A4"/>
    <w:rsid w:val="00340C06"/>
    <w:rsid w:val="003419C7"/>
    <w:rsid w:val="00341C8D"/>
    <w:rsid w:val="0035097C"/>
    <w:rsid w:val="0035229C"/>
    <w:rsid w:val="00352680"/>
    <w:rsid w:val="00357F92"/>
    <w:rsid w:val="0036133A"/>
    <w:rsid w:val="0036198C"/>
    <w:rsid w:val="00362D1E"/>
    <w:rsid w:val="003775F1"/>
    <w:rsid w:val="00385522"/>
    <w:rsid w:val="00385C38"/>
    <w:rsid w:val="003866AB"/>
    <w:rsid w:val="00390137"/>
    <w:rsid w:val="00391008"/>
    <w:rsid w:val="003913C5"/>
    <w:rsid w:val="003931D8"/>
    <w:rsid w:val="003A241A"/>
    <w:rsid w:val="003A5AE2"/>
    <w:rsid w:val="003A6A50"/>
    <w:rsid w:val="003B0143"/>
    <w:rsid w:val="003B191A"/>
    <w:rsid w:val="003B5BBB"/>
    <w:rsid w:val="003B7323"/>
    <w:rsid w:val="003C099F"/>
    <w:rsid w:val="003C16A7"/>
    <w:rsid w:val="003D47CB"/>
    <w:rsid w:val="003D6B47"/>
    <w:rsid w:val="003D77E9"/>
    <w:rsid w:val="003E18CB"/>
    <w:rsid w:val="003F623F"/>
    <w:rsid w:val="00402405"/>
    <w:rsid w:val="00402AB7"/>
    <w:rsid w:val="00402AF2"/>
    <w:rsid w:val="0040582A"/>
    <w:rsid w:val="00410D18"/>
    <w:rsid w:val="00415249"/>
    <w:rsid w:val="00415860"/>
    <w:rsid w:val="00417ACE"/>
    <w:rsid w:val="00424E05"/>
    <w:rsid w:val="0042592A"/>
    <w:rsid w:val="0043215F"/>
    <w:rsid w:val="00432330"/>
    <w:rsid w:val="00432523"/>
    <w:rsid w:val="004350A3"/>
    <w:rsid w:val="00442091"/>
    <w:rsid w:val="00450B9F"/>
    <w:rsid w:val="00454398"/>
    <w:rsid w:val="00454EDE"/>
    <w:rsid w:val="00457637"/>
    <w:rsid w:val="0045780C"/>
    <w:rsid w:val="00457C4B"/>
    <w:rsid w:val="00463262"/>
    <w:rsid w:val="00470159"/>
    <w:rsid w:val="004715E5"/>
    <w:rsid w:val="00471865"/>
    <w:rsid w:val="00475A04"/>
    <w:rsid w:val="00485C01"/>
    <w:rsid w:val="00490A21"/>
    <w:rsid w:val="004968FC"/>
    <w:rsid w:val="004A13B0"/>
    <w:rsid w:val="004A3F94"/>
    <w:rsid w:val="004A42D1"/>
    <w:rsid w:val="004B1D8A"/>
    <w:rsid w:val="004B2E09"/>
    <w:rsid w:val="004B47C6"/>
    <w:rsid w:val="004B5D1C"/>
    <w:rsid w:val="004C100F"/>
    <w:rsid w:val="004C2DB8"/>
    <w:rsid w:val="004C320B"/>
    <w:rsid w:val="004C4A5D"/>
    <w:rsid w:val="004C605C"/>
    <w:rsid w:val="004D1C27"/>
    <w:rsid w:val="004D3F51"/>
    <w:rsid w:val="004D561C"/>
    <w:rsid w:val="004D6062"/>
    <w:rsid w:val="004D6743"/>
    <w:rsid w:val="004D6E2F"/>
    <w:rsid w:val="004E1AAF"/>
    <w:rsid w:val="004F0E7E"/>
    <w:rsid w:val="004F2639"/>
    <w:rsid w:val="004F6439"/>
    <w:rsid w:val="00501D7A"/>
    <w:rsid w:val="0050392A"/>
    <w:rsid w:val="00504DC3"/>
    <w:rsid w:val="00506E60"/>
    <w:rsid w:val="00510C9F"/>
    <w:rsid w:val="005127B1"/>
    <w:rsid w:val="005275BC"/>
    <w:rsid w:val="00531BA4"/>
    <w:rsid w:val="0053661A"/>
    <w:rsid w:val="005375C7"/>
    <w:rsid w:val="00537853"/>
    <w:rsid w:val="00540494"/>
    <w:rsid w:val="0054256F"/>
    <w:rsid w:val="005427B2"/>
    <w:rsid w:val="00544199"/>
    <w:rsid w:val="00547E1B"/>
    <w:rsid w:val="0055509B"/>
    <w:rsid w:val="00556D87"/>
    <w:rsid w:val="0056449B"/>
    <w:rsid w:val="00573646"/>
    <w:rsid w:val="0057633C"/>
    <w:rsid w:val="00577136"/>
    <w:rsid w:val="005828C8"/>
    <w:rsid w:val="00583632"/>
    <w:rsid w:val="00595521"/>
    <w:rsid w:val="005A02D4"/>
    <w:rsid w:val="005A0D98"/>
    <w:rsid w:val="005A11FB"/>
    <w:rsid w:val="005A2BEA"/>
    <w:rsid w:val="005A66A2"/>
    <w:rsid w:val="005B5853"/>
    <w:rsid w:val="005B5858"/>
    <w:rsid w:val="005B5DFD"/>
    <w:rsid w:val="005B61EB"/>
    <w:rsid w:val="005B7694"/>
    <w:rsid w:val="005C0A20"/>
    <w:rsid w:val="005C15A2"/>
    <w:rsid w:val="005E1B08"/>
    <w:rsid w:val="005E4725"/>
    <w:rsid w:val="005E4DED"/>
    <w:rsid w:val="005E6F74"/>
    <w:rsid w:val="005E7864"/>
    <w:rsid w:val="005E7F43"/>
    <w:rsid w:val="00601C13"/>
    <w:rsid w:val="006034E0"/>
    <w:rsid w:val="00607ED1"/>
    <w:rsid w:val="00607EF4"/>
    <w:rsid w:val="006203F9"/>
    <w:rsid w:val="006224F2"/>
    <w:rsid w:val="00626032"/>
    <w:rsid w:val="00627D85"/>
    <w:rsid w:val="00634907"/>
    <w:rsid w:val="00634AE4"/>
    <w:rsid w:val="0065197E"/>
    <w:rsid w:val="00657204"/>
    <w:rsid w:val="0065745E"/>
    <w:rsid w:val="00660E7F"/>
    <w:rsid w:val="006629BC"/>
    <w:rsid w:val="00664CAD"/>
    <w:rsid w:val="0066796A"/>
    <w:rsid w:val="0066796B"/>
    <w:rsid w:val="00667BA6"/>
    <w:rsid w:val="00667DFA"/>
    <w:rsid w:val="00671909"/>
    <w:rsid w:val="00672DE9"/>
    <w:rsid w:val="00673EEF"/>
    <w:rsid w:val="0068136A"/>
    <w:rsid w:val="0068174E"/>
    <w:rsid w:val="00683651"/>
    <w:rsid w:val="006869E5"/>
    <w:rsid w:val="00686B02"/>
    <w:rsid w:val="006913F4"/>
    <w:rsid w:val="006942C2"/>
    <w:rsid w:val="00694B84"/>
    <w:rsid w:val="00697872"/>
    <w:rsid w:val="00697E65"/>
    <w:rsid w:val="006A4C90"/>
    <w:rsid w:val="006A5F96"/>
    <w:rsid w:val="006A615C"/>
    <w:rsid w:val="006A69B3"/>
    <w:rsid w:val="006C1555"/>
    <w:rsid w:val="006C1D97"/>
    <w:rsid w:val="006D0D2F"/>
    <w:rsid w:val="006D351E"/>
    <w:rsid w:val="006D488C"/>
    <w:rsid w:val="006E1826"/>
    <w:rsid w:val="006E1A4E"/>
    <w:rsid w:val="006E294F"/>
    <w:rsid w:val="006E4C68"/>
    <w:rsid w:val="006E76F9"/>
    <w:rsid w:val="006F1556"/>
    <w:rsid w:val="006F1745"/>
    <w:rsid w:val="006F6E89"/>
    <w:rsid w:val="00702262"/>
    <w:rsid w:val="007026C6"/>
    <w:rsid w:val="00706BE1"/>
    <w:rsid w:val="00715566"/>
    <w:rsid w:val="007179D7"/>
    <w:rsid w:val="00732040"/>
    <w:rsid w:val="0073208B"/>
    <w:rsid w:val="0073214C"/>
    <w:rsid w:val="00745DDD"/>
    <w:rsid w:val="007512E3"/>
    <w:rsid w:val="00754E13"/>
    <w:rsid w:val="00757CDB"/>
    <w:rsid w:val="007628C2"/>
    <w:rsid w:val="007631A4"/>
    <w:rsid w:val="007636A7"/>
    <w:rsid w:val="00765414"/>
    <w:rsid w:val="00767559"/>
    <w:rsid w:val="00775402"/>
    <w:rsid w:val="00775531"/>
    <w:rsid w:val="00776519"/>
    <w:rsid w:val="0077709C"/>
    <w:rsid w:val="0078494F"/>
    <w:rsid w:val="00785B2D"/>
    <w:rsid w:val="00793064"/>
    <w:rsid w:val="0079656C"/>
    <w:rsid w:val="007B28F7"/>
    <w:rsid w:val="007B53C9"/>
    <w:rsid w:val="007B6670"/>
    <w:rsid w:val="007C040F"/>
    <w:rsid w:val="007C47EE"/>
    <w:rsid w:val="007C5938"/>
    <w:rsid w:val="007D0A03"/>
    <w:rsid w:val="007D0CD7"/>
    <w:rsid w:val="007D4497"/>
    <w:rsid w:val="007E0155"/>
    <w:rsid w:val="007E674E"/>
    <w:rsid w:val="007E7ABA"/>
    <w:rsid w:val="007F0AED"/>
    <w:rsid w:val="007F140B"/>
    <w:rsid w:val="007F7F33"/>
    <w:rsid w:val="00800BC9"/>
    <w:rsid w:val="00802753"/>
    <w:rsid w:val="00803975"/>
    <w:rsid w:val="00803CB9"/>
    <w:rsid w:val="008145E5"/>
    <w:rsid w:val="008225E4"/>
    <w:rsid w:val="0082289E"/>
    <w:rsid w:val="00827588"/>
    <w:rsid w:val="0082758A"/>
    <w:rsid w:val="008316C4"/>
    <w:rsid w:val="00835869"/>
    <w:rsid w:val="0083604B"/>
    <w:rsid w:val="0084246E"/>
    <w:rsid w:val="008427BB"/>
    <w:rsid w:val="00842816"/>
    <w:rsid w:val="00856FF9"/>
    <w:rsid w:val="00861BFF"/>
    <w:rsid w:val="008770BD"/>
    <w:rsid w:val="00881430"/>
    <w:rsid w:val="0088659B"/>
    <w:rsid w:val="00886811"/>
    <w:rsid w:val="008868C8"/>
    <w:rsid w:val="00886974"/>
    <w:rsid w:val="00887136"/>
    <w:rsid w:val="00891486"/>
    <w:rsid w:val="00892BCA"/>
    <w:rsid w:val="00893451"/>
    <w:rsid w:val="00893DFE"/>
    <w:rsid w:val="0089622A"/>
    <w:rsid w:val="008A2B9E"/>
    <w:rsid w:val="008A7508"/>
    <w:rsid w:val="008B2EA8"/>
    <w:rsid w:val="008B3F4F"/>
    <w:rsid w:val="008B481B"/>
    <w:rsid w:val="008B6A9E"/>
    <w:rsid w:val="008C748E"/>
    <w:rsid w:val="008E1735"/>
    <w:rsid w:val="008E6042"/>
    <w:rsid w:val="00905D5D"/>
    <w:rsid w:val="009077BA"/>
    <w:rsid w:val="00916B39"/>
    <w:rsid w:val="00917544"/>
    <w:rsid w:val="00922E9C"/>
    <w:rsid w:val="00926787"/>
    <w:rsid w:val="00932859"/>
    <w:rsid w:val="009411DC"/>
    <w:rsid w:val="00941B8F"/>
    <w:rsid w:val="009422AA"/>
    <w:rsid w:val="00944A42"/>
    <w:rsid w:val="0095300D"/>
    <w:rsid w:val="009544F7"/>
    <w:rsid w:val="00960F76"/>
    <w:rsid w:val="00965D86"/>
    <w:rsid w:val="00966DBB"/>
    <w:rsid w:val="009732E0"/>
    <w:rsid w:val="00974A32"/>
    <w:rsid w:val="009812F4"/>
    <w:rsid w:val="00982991"/>
    <w:rsid w:val="00986229"/>
    <w:rsid w:val="00986710"/>
    <w:rsid w:val="009869A5"/>
    <w:rsid w:val="00991BE8"/>
    <w:rsid w:val="00994069"/>
    <w:rsid w:val="00996BDA"/>
    <w:rsid w:val="009A0489"/>
    <w:rsid w:val="009A1054"/>
    <w:rsid w:val="009A1735"/>
    <w:rsid w:val="009A2606"/>
    <w:rsid w:val="009A6EFC"/>
    <w:rsid w:val="009B018D"/>
    <w:rsid w:val="009B2C90"/>
    <w:rsid w:val="009B4757"/>
    <w:rsid w:val="009B6E60"/>
    <w:rsid w:val="009C13D2"/>
    <w:rsid w:val="009C6E5D"/>
    <w:rsid w:val="009C7AAA"/>
    <w:rsid w:val="009C7C61"/>
    <w:rsid w:val="009D18BC"/>
    <w:rsid w:val="009D60E2"/>
    <w:rsid w:val="009E0E30"/>
    <w:rsid w:val="009E0EC1"/>
    <w:rsid w:val="009E1CA5"/>
    <w:rsid w:val="009E2017"/>
    <w:rsid w:val="009E3CC5"/>
    <w:rsid w:val="009F687A"/>
    <w:rsid w:val="00A00A4C"/>
    <w:rsid w:val="00A01C6B"/>
    <w:rsid w:val="00A027FB"/>
    <w:rsid w:val="00A055FD"/>
    <w:rsid w:val="00A076A0"/>
    <w:rsid w:val="00A11093"/>
    <w:rsid w:val="00A164BE"/>
    <w:rsid w:val="00A24116"/>
    <w:rsid w:val="00A26650"/>
    <w:rsid w:val="00A27E86"/>
    <w:rsid w:val="00A31000"/>
    <w:rsid w:val="00A320A1"/>
    <w:rsid w:val="00A34D1D"/>
    <w:rsid w:val="00A37640"/>
    <w:rsid w:val="00A42B9A"/>
    <w:rsid w:val="00A445AE"/>
    <w:rsid w:val="00A44C9F"/>
    <w:rsid w:val="00A50DDD"/>
    <w:rsid w:val="00A537C6"/>
    <w:rsid w:val="00A5434A"/>
    <w:rsid w:val="00A55AB0"/>
    <w:rsid w:val="00A61342"/>
    <w:rsid w:val="00A66680"/>
    <w:rsid w:val="00A6765F"/>
    <w:rsid w:val="00A73B48"/>
    <w:rsid w:val="00A75C6D"/>
    <w:rsid w:val="00A822D2"/>
    <w:rsid w:val="00A8348C"/>
    <w:rsid w:val="00A84D23"/>
    <w:rsid w:val="00A87F2B"/>
    <w:rsid w:val="00A90209"/>
    <w:rsid w:val="00A914F5"/>
    <w:rsid w:val="00A93B70"/>
    <w:rsid w:val="00A96C05"/>
    <w:rsid w:val="00A96E75"/>
    <w:rsid w:val="00AA2DF7"/>
    <w:rsid w:val="00AA65CD"/>
    <w:rsid w:val="00AB0571"/>
    <w:rsid w:val="00AB0C72"/>
    <w:rsid w:val="00AB3A11"/>
    <w:rsid w:val="00AB5E23"/>
    <w:rsid w:val="00AC1BC6"/>
    <w:rsid w:val="00AC2029"/>
    <w:rsid w:val="00AC2E8B"/>
    <w:rsid w:val="00AD1B70"/>
    <w:rsid w:val="00AD2DF1"/>
    <w:rsid w:val="00AD384D"/>
    <w:rsid w:val="00AD7DB4"/>
    <w:rsid w:val="00AE0167"/>
    <w:rsid w:val="00AE1DB1"/>
    <w:rsid w:val="00AE2515"/>
    <w:rsid w:val="00AF2E13"/>
    <w:rsid w:val="00AF5950"/>
    <w:rsid w:val="00B0176E"/>
    <w:rsid w:val="00B04E44"/>
    <w:rsid w:val="00B069C9"/>
    <w:rsid w:val="00B23B17"/>
    <w:rsid w:val="00B30140"/>
    <w:rsid w:val="00B32501"/>
    <w:rsid w:val="00B3315C"/>
    <w:rsid w:val="00B34380"/>
    <w:rsid w:val="00B34CCD"/>
    <w:rsid w:val="00B511AA"/>
    <w:rsid w:val="00B52598"/>
    <w:rsid w:val="00B6158B"/>
    <w:rsid w:val="00B6287D"/>
    <w:rsid w:val="00B7040A"/>
    <w:rsid w:val="00B70DA5"/>
    <w:rsid w:val="00B72D36"/>
    <w:rsid w:val="00B7633F"/>
    <w:rsid w:val="00B77668"/>
    <w:rsid w:val="00B81182"/>
    <w:rsid w:val="00B8300E"/>
    <w:rsid w:val="00B85D0E"/>
    <w:rsid w:val="00B92EB5"/>
    <w:rsid w:val="00BA60D0"/>
    <w:rsid w:val="00BA6B4B"/>
    <w:rsid w:val="00BB02AD"/>
    <w:rsid w:val="00BB20BD"/>
    <w:rsid w:val="00BB23E7"/>
    <w:rsid w:val="00BC0C86"/>
    <w:rsid w:val="00BC3748"/>
    <w:rsid w:val="00BC4560"/>
    <w:rsid w:val="00BC78F3"/>
    <w:rsid w:val="00BC7C19"/>
    <w:rsid w:val="00BE4A09"/>
    <w:rsid w:val="00BF57BF"/>
    <w:rsid w:val="00BF67B4"/>
    <w:rsid w:val="00C04121"/>
    <w:rsid w:val="00C11CAC"/>
    <w:rsid w:val="00C14A2D"/>
    <w:rsid w:val="00C20B06"/>
    <w:rsid w:val="00C23BB4"/>
    <w:rsid w:val="00C24A58"/>
    <w:rsid w:val="00C30651"/>
    <w:rsid w:val="00C34C20"/>
    <w:rsid w:val="00C3538A"/>
    <w:rsid w:val="00C47D3B"/>
    <w:rsid w:val="00C5135B"/>
    <w:rsid w:val="00C54BD6"/>
    <w:rsid w:val="00C57C77"/>
    <w:rsid w:val="00C63681"/>
    <w:rsid w:val="00C6506B"/>
    <w:rsid w:val="00C6634E"/>
    <w:rsid w:val="00C67A9D"/>
    <w:rsid w:val="00C67DCF"/>
    <w:rsid w:val="00C70073"/>
    <w:rsid w:val="00C73C6D"/>
    <w:rsid w:val="00C74A68"/>
    <w:rsid w:val="00C74EC8"/>
    <w:rsid w:val="00C76093"/>
    <w:rsid w:val="00C80629"/>
    <w:rsid w:val="00C80B59"/>
    <w:rsid w:val="00C84096"/>
    <w:rsid w:val="00C86A98"/>
    <w:rsid w:val="00C8768D"/>
    <w:rsid w:val="00C91E97"/>
    <w:rsid w:val="00C9401B"/>
    <w:rsid w:val="00CA08D7"/>
    <w:rsid w:val="00CA6AD3"/>
    <w:rsid w:val="00CB04DD"/>
    <w:rsid w:val="00CB20F3"/>
    <w:rsid w:val="00CC1E7D"/>
    <w:rsid w:val="00CC24BD"/>
    <w:rsid w:val="00CC2956"/>
    <w:rsid w:val="00CC4A19"/>
    <w:rsid w:val="00CC558B"/>
    <w:rsid w:val="00CC7EA9"/>
    <w:rsid w:val="00CD0B8D"/>
    <w:rsid w:val="00CD3E0C"/>
    <w:rsid w:val="00CE134D"/>
    <w:rsid w:val="00CE67CB"/>
    <w:rsid w:val="00CF75DF"/>
    <w:rsid w:val="00D04239"/>
    <w:rsid w:val="00D06E19"/>
    <w:rsid w:val="00D10A25"/>
    <w:rsid w:val="00D11DA8"/>
    <w:rsid w:val="00D21020"/>
    <w:rsid w:val="00D255E0"/>
    <w:rsid w:val="00D346FC"/>
    <w:rsid w:val="00D417FB"/>
    <w:rsid w:val="00D41E55"/>
    <w:rsid w:val="00D43B8C"/>
    <w:rsid w:val="00D45920"/>
    <w:rsid w:val="00D45BC6"/>
    <w:rsid w:val="00D469A1"/>
    <w:rsid w:val="00D47810"/>
    <w:rsid w:val="00D50EB2"/>
    <w:rsid w:val="00D53F3C"/>
    <w:rsid w:val="00D61813"/>
    <w:rsid w:val="00D64F8B"/>
    <w:rsid w:val="00D70454"/>
    <w:rsid w:val="00D71B45"/>
    <w:rsid w:val="00D7223F"/>
    <w:rsid w:val="00D726D0"/>
    <w:rsid w:val="00D75B8F"/>
    <w:rsid w:val="00D75E24"/>
    <w:rsid w:val="00D767CE"/>
    <w:rsid w:val="00D777CF"/>
    <w:rsid w:val="00D778EF"/>
    <w:rsid w:val="00D80D2B"/>
    <w:rsid w:val="00D90A5B"/>
    <w:rsid w:val="00D90DC8"/>
    <w:rsid w:val="00D9480D"/>
    <w:rsid w:val="00D9581D"/>
    <w:rsid w:val="00D97C22"/>
    <w:rsid w:val="00DA17D4"/>
    <w:rsid w:val="00DA571D"/>
    <w:rsid w:val="00DA7EB0"/>
    <w:rsid w:val="00DB0D5E"/>
    <w:rsid w:val="00DB1A68"/>
    <w:rsid w:val="00DB6C87"/>
    <w:rsid w:val="00DC4FB5"/>
    <w:rsid w:val="00DC654B"/>
    <w:rsid w:val="00DD4E6C"/>
    <w:rsid w:val="00DE4B20"/>
    <w:rsid w:val="00DF33E9"/>
    <w:rsid w:val="00E058E4"/>
    <w:rsid w:val="00E14298"/>
    <w:rsid w:val="00E16985"/>
    <w:rsid w:val="00E22ED4"/>
    <w:rsid w:val="00E279F8"/>
    <w:rsid w:val="00E34DC9"/>
    <w:rsid w:val="00E40A1A"/>
    <w:rsid w:val="00E41D3B"/>
    <w:rsid w:val="00E437B7"/>
    <w:rsid w:val="00E4497E"/>
    <w:rsid w:val="00E54981"/>
    <w:rsid w:val="00E554EA"/>
    <w:rsid w:val="00E55679"/>
    <w:rsid w:val="00E556D0"/>
    <w:rsid w:val="00E55A5D"/>
    <w:rsid w:val="00E55E97"/>
    <w:rsid w:val="00E561F1"/>
    <w:rsid w:val="00E61679"/>
    <w:rsid w:val="00E668E6"/>
    <w:rsid w:val="00E71185"/>
    <w:rsid w:val="00E7365B"/>
    <w:rsid w:val="00E76581"/>
    <w:rsid w:val="00E8011A"/>
    <w:rsid w:val="00E81530"/>
    <w:rsid w:val="00E84309"/>
    <w:rsid w:val="00E84FE5"/>
    <w:rsid w:val="00E852B6"/>
    <w:rsid w:val="00E871F1"/>
    <w:rsid w:val="00E97F4D"/>
    <w:rsid w:val="00EA0B28"/>
    <w:rsid w:val="00EA1938"/>
    <w:rsid w:val="00EA3251"/>
    <w:rsid w:val="00EA3E59"/>
    <w:rsid w:val="00EA3E61"/>
    <w:rsid w:val="00EA43CE"/>
    <w:rsid w:val="00EB179F"/>
    <w:rsid w:val="00EC18A4"/>
    <w:rsid w:val="00EC21E8"/>
    <w:rsid w:val="00EC7766"/>
    <w:rsid w:val="00ED210B"/>
    <w:rsid w:val="00ED71A3"/>
    <w:rsid w:val="00EE3441"/>
    <w:rsid w:val="00EE3876"/>
    <w:rsid w:val="00EE3A11"/>
    <w:rsid w:val="00EE720B"/>
    <w:rsid w:val="00EF1036"/>
    <w:rsid w:val="00EF35A3"/>
    <w:rsid w:val="00EF506E"/>
    <w:rsid w:val="00F04978"/>
    <w:rsid w:val="00F055F4"/>
    <w:rsid w:val="00F104E6"/>
    <w:rsid w:val="00F11B96"/>
    <w:rsid w:val="00F1266B"/>
    <w:rsid w:val="00F17A11"/>
    <w:rsid w:val="00F17CF0"/>
    <w:rsid w:val="00F275FC"/>
    <w:rsid w:val="00F33DFB"/>
    <w:rsid w:val="00F36339"/>
    <w:rsid w:val="00F36CD7"/>
    <w:rsid w:val="00F36E3D"/>
    <w:rsid w:val="00F555E4"/>
    <w:rsid w:val="00F6467F"/>
    <w:rsid w:val="00F6737E"/>
    <w:rsid w:val="00F72477"/>
    <w:rsid w:val="00F7563A"/>
    <w:rsid w:val="00F7619B"/>
    <w:rsid w:val="00F763F4"/>
    <w:rsid w:val="00F800F7"/>
    <w:rsid w:val="00F81143"/>
    <w:rsid w:val="00F836D0"/>
    <w:rsid w:val="00F83E3C"/>
    <w:rsid w:val="00F861D2"/>
    <w:rsid w:val="00FA3062"/>
    <w:rsid w:val="00FB4F1D"/>
    <w:rsid w:val="00FC3D4A"/>
    <w:rsid w:val="00FC452F"/>
    <w:rsid w:val="00FC642D"/>
    <w:rsid w:val="00FD24EA"/>
    <w:rsid w:val="00FD5105"/>
    <w:rsid w:val="00FE186B"/>
    <w:rsid w:val="00FE3B88"/>
    <w:rsid w:val="00FE6668"/>
    <w:rsid w:val="00FE6E6A"/>
    <w:rsid w:val="00FF31E9"/>
    <w:rsid w:val="00FF357F"/>
    <w:rsid w:val="00FF49D5"/>
    <w:rsid w:val="00FF6998"/>
    <w:rsid w:val="2D251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CA33F"/>
  <w15:chartTrackingRefBased/>
  <w15:docId w15:val="{D1042A39-ABEB-4A8C-ACCC-5D2F3012D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0A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0A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0A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0A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0A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0A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0A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0A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0A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0A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0A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0A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0A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0A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0A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0A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0A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0A20"/>
    <w:rPr>
      <w:rFonts w:eastAsiaTheme="majorEastAsia" w:cstheme="majorBidi"/>
      <w:color w:val="272727" w:themeColor="text1" w:themeTint="D8"/>
    </w:rPr>
  </w:style>
  <w:style w:type="paragraph" w:styleId="Title">
    <w:name w:val="Title"/>
    <w:basedOn w:val="Normal"/>
    <w:next w:val="Normal"/>
    <w:link w:val="TitleChar"/>
    <w:uiPriority w:val="10"/>
    <w:qFormat/>
    <w:rsid w:val="005C0A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0A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0A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0A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0A20"/>
    <w:pPr>
      <w:spacing w:before="160"/>
      <w:jc w:val="center"/>
    </w:pPr>
    <w:rPr>
      <w:i/>
      <w:iCs/>
      <w:color w:val="404040" w:themeColor="text1" w:themeTint="BF"/>
    </w:rPr>
  </w:style>
  <w:style w:type="character" w:customStyle="1" w:styleId="QuoteChar">
    <w:name w:val="Quote Char"/>
    <w:basedOn w:val="DefaultParagraphFont"/>
    <w:link w:val="Quote"/>
    <w:uiPriority w:val="29"/>
    <w:rsid w:val="005C0A20"/>
    <w:rPr>
      <w:i/>
      <w:iCs/>
      <w:color w:val="404040" w:themeColor="text1" w:themeTint="BF"/>
    </w:rPr>
  </w:style>
  <w:style w:type="paragraph" w:styleId="ListParagraph">
    <w:name w:val="List Paragraph"/>
    <w:aliases w:val="List bullet"/>
    <w:basedOn w:val="Normal"/>
    <w:uiPriority w:val="34"/>
    <w:qFormat/>
    <w:rsid w:val="005C0A20"/>
    <w:pPr>
      <w:ind w:left="720"/>
      <w:contextualSpacing/>
    </w:pPr>
  </w:style>
  <w:style w:type="character" w:styleId="IntenseEmphasis">
    <w:name w:val="Intense Emphasis"/>
    <w:basedOn w:val="DefaultParagraphFont"/>
    <w:uiPriority w:val="21"/>
    <w:qFormat/>
    <w:rsid w:val="005C0A20"/>
    <w:rPr>
      <w:i/>
      <w:iCs/>
      <w:color w:val="0F4761" w:themeColor="accent1" w:themeShade="BF"/>
    </w:rPr>
  </w:style>
  <w:style w:type="paragraph" w:styleId="IntenseQuote">
    <w:name w:val="Intense Quote"/>
    <w:basedOn w:val="Normal"/>
    <w:next w:val="Normal"/>
    <w:link w:val="IntenseQuoteChar"/>
    <w:uiPriority w:val="30"/>
    <w:qFormat/>
    <w:rsid w:val="005C0A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0A20"/>
    <w:rPr>
      <w:i/>
      <w:iCs/>
      <w:color w:val="0F4761" w:themeColor="accent1" w:themeShade="BF"/>
    </w:rPr>
  </w:style>
  <w:style w:type="character" w:styleId="IntenseReference">
    <w:name w:val="Intense Reference"/>
    <w:basedOn w:val="DefaultParagraphFont"/>
    <w:uiPriority w:val="32"/>
    <w:qFormat/>
    <w:rsid w:val="005C0A20"/>
    <w:rPr>
      <w:b/>
      <w:bCs/>
      <w:smallCaps/>
      <w:color w:val="0F4761" w:themeColor="accent1" w:themeShade="BF"/>
      <w:spacing w:val="5"/>
    </w:rPr>
  </w:style>
  <w:style w:type="paragraph" w:customStyle="1" w:styleId="p1">
    <w:name w:val="p1"/>
    <w:basedOn w:val="Normal"/>
    <w:rsid w:val="005C0A20"/>
    <w:pPr>
      <w:spacing w:after="0" w:line="240" w:lineRule="auto"/>
    </w:pPr>
    <w:rPr>
      <w:rFonts w:ascii="Helvetica" w:eastAsia="Times New Roman" w:hAnsi="Helvetica" w:cs="Times New Roman"/>
      <w:color w:val="000000"/>
      <w:kern w:val="0"/>
      <w:sz w:val="13"/>
      <w:szCs w:val="13"/>
      <w:lang w:eastAsia="en-GB"/>
      <w14:ligatures w14:val="none"/>
    </w:rPr>
  </w:style>
  <w:style w:type="character" w:customStyle="1" w:styleId="apple-converted-space">
    <w:name w:val="apple-converted-space"/>
    <w:basedOn w:val="DefaultParagraphFont"/>
    <w:rsid w:val="005C0A20"/>
  </w:style>
  <w:style w:type="character" w:customStyle="1" w:styleId="s1">
    <w:name w:val="s1"/>
    <w:basedOn w:val="DefaultParagraphFont"/>
    <w:rsid w:val="00137E64"/>
    <w:rPr>
      <w:rFonts w:ascii="Helvetica" w:hAnsi="Helvetica" w:hint="default"/>
      <w:sz w:val="8"/>
      <w:szCs w:val="8"/>
    </w:rPr>
  </w:style>
  <w:style w:type="character" w:styleId="CommentReference">
    <w:name w:val="annotation reference"/>
    <w:basedOn w:val="DefaultParagraphFont"/>
    <w:uiPriority w:val="99"/>
    <w:semiHidden/>
    <w:unhideWhenUsed/>
    <w:rsid w:val="00C47D3B"/>
    <w:rPr>
      <w:sz w:val="16"/>
      <w:szCs w:val="16"/>
    </w:rPr>
  </w:style>
  <w:style w:type="paragraph" w:styleId="CommentText">
    <w:name w:val="annotation text"/>
    <w:basedOn w:val="Normal"/>
    <w:link w:val="CommentTextChar"/>
    <w:uiPriority w:val="99"/>
    <w:semiHidden/>
    <w:unhideWhenUsed/>
    <w:rsid w:val="00C47D3B"/>
    <w:pPr>
      <w:spacing w:line="240" w:lineRule="auto"/>
    </w:pPr>
    <w:rPr>
      <w:sz w:val="20"/>
      <w:szCs w:val="20"/>
    </w:rPr>
  </w:style>
  <w:style w:type="character" w:customStyle="1" w:styleId="CommentTextChar">
    <w:name w:val="Comment Text Char"/>
    <w:basedOn w:val="DefaultParagraphFont"/>
    <w:link w:val="CommentText"/>
    <w:uiPriority w:val="99"/>
    <w:semiHidden/>
    <w:rsid w:val="00C47D3B"/>
    <w:rPr>
      <w:sz w:val="20"/>
      <w:szCs w:val="20"/>
    </w:rPr>
  </w:style>
  <w:style w:type="paragraph" w:styleId="CommentSubject">
    <w:name w:val="annotation subject"/>
    <w:basedOn w:val="CommentText"/>
    <w:next w:val="CommentText"/>
    <w:link w:val="CommentSubjectChar"/>
    <w:uiPriority w:val="99"/>
    <w:semiHidden/>
    <w:unhideWhenUsed/>
    <w:rsid w:val="00C47D3B"/>
    <w:rPr>
      <w:b/>
      <w:bCs/>
    </w:rPr>
  </w:style>
  <w:style w:type="character" w:customStyle="1" w:styleId="CommentSubjectChar">
    <w:name w:val="Comment Subject Char"/>
    <w:basedOn w:val="CommentTextChar"/>
    <w:link w:val="CommentSubject"/>
    <w:uiPriority w:val="99"/>
    <w:semiHidden/>
    <w:rsid w:val="00C47D3B"/>
    <w:rPr>
      <w:b/>
      <w:bCs/>
      <w:sz w:val="20"/>
      <w:szCs w:val="20"/>
    </w:rPr>
  </w:style>
  <w:style w:type="paragraph" w:customStyle="1" w:styleId="p2">
    <w:name w:val="p2"/>
    <w:basedOn w:val="Normal"/>
    <w:rsid w:val="005E6F74"/>
    <w:pPr>
      <w:spacing w:after="0" w:line="240" w:lineRule="auto"/>
    </w:pPr>
    <w:rPr>
      <w:rFonts w:ascii="Helvetica" w:eastAsia="Times New Roman" w:hAnsi="Helvetica" w:cs="Times New Roman"/>
      <w:color w:val="3E4F58"/>
      <w:kern w:val="0"/>
      <w:sz w:val="13"/>
      <w:szCs w:val="13"/>
      <w:lang w:eastAsia="en-GB"/>
      <w14:ligatures w14:val="none"/>
    </w:rPr>
  </w:style>
  <w:style w:type="paragraph" w:customStyle="1" w:styleId="p3">
    <w:name w:val="p3"/>
    <w:basedOn w:val="Normal"/>
    <w:rsid w:val="005E6F74"/>
    <w:pPr>
      <w:spacing w:after="0" w:line="240" w:lineRule="auto"/>
    </w:pPr>
    <w:rPr>
      <w:rFonts w:ascii="Helvetica" w:eastAsia="Times New Roman" w:hAnsi="Helvetica" w:cs="Times New Roman"/>
      <w:color w:val="000000"/>
      <w:kern w:val="0"/>
      <w:sz w:val="10"/>
      <w:szCs w:val="10"/>
      <w:lang w:eastAsia="en-GB"/>
      <w14:ligatures w14:val="none"/>
    </w:rPr>
  </w:style>
  <w:style w:type="paragraph" w:customStyle="1" w:styleId="p4">
    <w:name w:val="p4"/>
    <w:basedOn w:val="Normal"/>
    <w:rsid w:val="005E6F74"/>
    <w:pPr>
      <w:spacing w:after="0" w:line="240" w:lineRule="auto"/>
    </w:pPr>
    <w:rPr>
      <w:rFonts w:ascii="Helvetica" w:eastAsia="Times New Roman" w:hAnsi="Helvetica" w:cs="Times New Roman"/>
      <w:color w:val="010000"/>
      <w:kern w:val="0"/>
      <w:sz w:val="10"/>
      <w:szCs w:val="10"/>
      <w:lang w:eastAsia="en-GB"/>
      <w14:ligatures w14:val="none"/>
    </w:rPr>
  </w:style>
  <w:style w:type="character" w:styleId="Strong">
    <w:name w:val="Strong"/>
    <w:basedOn w:val="DefaultParagraphFont"/>
    <w:uiPriority w:val="22"/>
    <w:qFormat/>
    <w:rsid w:val="004350A3"/>
    <w:rPr>
      <w:b/>
      <w:bCs/>
    </w:rPr>
  </w:style>
  <w:style w:type="paragraph" w:styleId="NormalWeb">
    <w:name w:val="Normal (Web)"/>
    <w:basedOn w:val="Normal"/>
    <w:uiPriority w:val="99"/>
    <w:semiHidden/>
    <w:unhideWhenUsed/>
    <w:rsid w:val="004350A3"/>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semiHidden/>
    <w:unhideWhenUsed/>
    <w:rsid w:val="004350A3"/>
    <w:rPr>
      <w:color w:val="0000FF"/>
      <w:u w:val="single"/>
    </w:rPr>
  </w:style>
  <w:style w:type="character" w:customStyle="1" w:styleId="item-category">
    <w:name w:val="item-category"/>
    <w:basedOn w:val="DefaultParagraphFont"/>
    <w:rsid w:val="004350A3"/>
  </w:style>
  <w:style w:type="paragraph" w:styleId="Header">
    <w:name w:val="header"/>
    <w:basedOn w:val="Normal"/>
    <w:link w:val="HeaderChar"/>
    <w:uiPriority w:val="99"/>
    <w:unhideWhenUsed/>
    <w:rsid w:val="00B615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8B"/>
  </w:style>
  <w:style w:type="paragraph" w:styleId="Footer">
    <w:name w:val="footer"/>
    <w:basedOn w:val="Normal"/>
    <w:link w:val="FooterChar"/>
    <w:uiPriority w:val="99"/>
    <w:unhideWhenUsed/>
    <w:rsid w:val="00B615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8B"/>
  </w:style>
  <w:style w:type="paragraph" w:styleId="FootnoteText">
    <w:name w:val="footnote text"/>
    <w:basedOn w:val="Normal"/>
    <w:link w:val="FootnoteTextChar"/>
    <w:uiPriority w:val="99"/>
    <w:semiHidden/>
    <w:unhideWhenUsed/>
    <w:rsid w:val="00B615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58B"/>
    <w:rPr>
      <w:sz w:val="20"/>
      <w:szCs w:val="20"/>
    </w:rPr>
  </w:style>
  <w:style w:type="character" w:styleId="FootnoteReference">
    <w:name w:val="footnote reference"/>
    <w:basedOn w:val="DefaultParagraphFont"/>
    <w:uiPriority w:val="99"/>
    <w:semiHidden/>
    <w:unhideWhenUsed/>
    <w:rsid w:val="00B6158B"/>
    <w:rPr>
      <w:vertAlign w:val="superscript"/>
    </w:rPr>
  </w:style>
  <w:style w:type="numbering" w:customStyle="1" w:styleId="CurrentList1">
    <w:name w:val="Current List1"/>
    <w:uiPriority w:val="99"/>
    <w:rsid w:val="00EC21E8"/>
    <w:pPr>
      <w:numPr>
        <w:numId w:val="14"/>
      </w:numPr>
    </w:pPr>
  </w:style>
  <w:style w:type="paragraph" w:customStyle="1" w:styleId="INTERNALCOMMheading">
    <w:name w:val="INTERNAL COMM heading"/>
    <w:qFormat/>
    <w:rsid w:val="009812F4"/>
    <w:pPr>
      <w:spacing w:after="0" w:line="240" w:lineRule="auto"/>
    </w:pPr>
    <w:rPr>
      <w:rFonts w:ascii="Arial" w:eastAsiaTheme="minorEastAsia" w:hAnsi="Arial" w:cs="Arial"/>
      <w:color w:val="071637"/>
      <w:spacing w:val="40"/>
      <w:sz w:val="28"/>
      <w:szCs w:val="28"/>
    </w:rPr>
  </w:style>
  <w:style w:type="table" w:styleId="TableGrid">
    <w:name w:val="Table Grid"/>
    <w:basedOn w:val="TableNormal"/>
    <w:uiPriority w:val="39"/>
    <w:rsid w:val="009812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l/t-qlW3ot22J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0778EDA459F94F958FE17ABF6052AD" ma:contentTypeVersion="23" ma:contentTypeDescription="Create a new document." ma:contentTypeScope="" ma:versionID="8d57dbd66b2ca6d29cf6b21eece8ed47">
  <xsd:schema xmlns:xsd="http://www.w3.org/2001/XMLSchema" xmlns:xs="http://www.w3.org/2001/XMLSchema" xmlns:p="http://schemas.microsoft.com/office/2006/metadata/properties" xmlns:ns2="b28f926b-bb89-4ca6-97d4-91b13a262045" xmlns:ns3="00de2b35-b420-4cc4-9194-cd4c8288d32d" targetNamespace="http://schemas.microsoft.com/office/2006/metadata/properties" ma:root="true" ma:fieldsID="4a2349bb742d35f8c65f03c34257b27e" ns2:_="" ns3:_="">
    <xsd:import namespace="b28f926b-bb89-4ca6-97d4-91b13a262045"/>
    <xsd:import namespace="00de2b35-b420-4cc4-9194-cd4c8288d32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Thumbnail" minOccurs="0"/>
                <xsd:element ref="ns2:MediaLengthInSecond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f926b-bb89-4ca6-97d4-91b13a262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Thumbnail" ma:index="16" nillable="true" ma:displayName="Thumbnail" ma:format="Dropdown" ma:internalName="Thumbnail">
      <xsd:simpleType>
        <xsd:restriction base="dms:Text">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d712a79-e603-4bdd-9023-7cefe7239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e2b35-b420-4cc4-9194-cd4c8288d32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cd3810-7a1d-4b5d-ab19-b50308217dee}" ma:internalName="TaxCatchAll" ma:showField="CatchAllData" ma:web="00de2b35-b420-4cc4-9194-cd4c8288d3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0de2b35-b420-4cc4-9194-cd4c8288d32d" xsi:nil="true"/>
    <lcf76f155ced4ddcb4097134ff3c332f xmlns="b28f926b-bb89-4ca6-97d4-91b13a262045">
      <Terms xmlns="http://schemas.microsoft.com/office/infopath/2007/PartnerControls"/>
    </lcf76f155ced4ddcb4097134ff3c332f>
    <Thumbnail xmlns="b28f926b-bb89-4ca6-97d4-91b13a2620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90629F-89BA-4857-B2C7-E04F89A798CA}"/>
</file>

<file path=customXml/itemProps2.xml><?xml version="1.0" encoding="utf-8"?>
<ds:datastoreItem xmlns:ds="http://schemas.openxmlformats.org/officeDocument/2006/customXml" ds:itemID="{475AE018-6BDA-7B49-BB2D-716DB711A201}">
  <ds:schemaRefs>
    <ds:schemaRef ds:uri="http://schemas.openxmlformats.org/officeDocument/2006/bibliography"/>
  </ds:schemaRefs>
</ds:datastoreItem>
</file>

<file path=customXml/itemProps3.xml><?xml version="1.0" encoding="utf-8"?>
<ds:datastoreItem xmlns:ds="http://schemas.openxmlformats.org/officeDocument/2006/customXml" ds:itemID="{F7959C37-4987-4608-85F5-716FCD7D686E}">
  <ds:schemaRefs>
    <ds:schemaRef ds:uri="http://schemas.microsoft.com/office/2006/metadata/properties"/>
    <ds:schemaRef ds:uri="http://schemas.microsoft.com/office/infopath/2007/PartnerControls"/>
    <ds:schemaRef ds:uri="52d13578-b71a-4c63-86a8-cfb255c3112d"/>
    <ds:schemaRef ds:uri="76beb270-e269-4394-af06-8001a849d10e"/>
  </ds:schemaRefs>
</ds:datastoreItem>
</file>

<file path=customXml/itemProps4.xml><?xml version="1.0" encoding="utf-8"?>
<ds:datastoreItem xmlns:ds="http://schemas.openxmlformats.org/officeDocument/2006/customXml" ds:itemID="{57DD385B-651F-4DB7-837D-17784609D6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1018</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Rust</dc:creator>
  <cp:keywords/>
  <dc:description/>
  <cp:lastModifiedBy>Longden, Richard</cp:lastModifiedBy>
  <cp:revision>2</cp:revision>
  <dcterms:created xsi:type="dcterms:W3CDTF">2025-10-02T11:00:00Z</dcterms:created>
  <dcterms:modified xsi:type="dcterms:W3CDTF">2025-10-02T11:00:00Z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0x010100430778EDA459F94F958FE17ABF6052AD</vt:lpwstr>
  </property>
</Properties>
</file>